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BEDF8" w14:textId="025DBE42" w:rsidR="00055352" w:rsidRPr="00EE3FC8" w:rsidRDefault="00055352" w:rsidP="00EE3FC8">
      <w:pPr>
        <w:pStyle w:val="ListParagraph"/>
        <w:numPr>
          <w:ilvl w:val="0"/>
          <w:numId w:val="13"/>
        </w:numPr>
        <w:spacing w:after="160" w:line="360" w:lineRule="auto"/>
        <w:ind w:left="567" w:hanging="567"/>
        <w:contextualSpacing w:val="0"/>
        <w:jc w:val="both"/>
        <w:rPr>
          <w:rFonts w:ascii="Arial" w:hAnsi="Arial" w:cs="Arial"/>
          <w:b/>
          <w:bCs/>
          <w:i/>
        </w:rPr>
      </w:pPr>
      <w:r w:rsidRPr="00382EFC">
        <w:rPr>
          <w:rFonts w:ascii="Arial" w:hAnsi="Arial" w:cs="Arial"/>
          <w:b/>
          <w:bCs/>
          <w:i/>
        </w:rPr>
        <w:t>INTRODUCTION</w:t>
      </w:r>
    </w:p>
    <w:p w14:paraId="46C06AAA" w14:textId="062CB0E6" w:rsidR="008C72F4" w:rsidRPr="00382EFC" w:rsidRDefault="00A5341C" w:rsidP="00382EFC">
      <w:pPr>
        <w:pStyle w:val="ListParagraph"/>
        <w:numPr>
          <w:ilvl w:val="1"/>
          <w:numId w:val="13"/>
        </w:numPr>
        <w:spacing w:after="0" w:line="360" w:lineRule="auto"/>
        <w:ind w:left="1134" w:hanging="567"/>
        <w:jc w:val="both"/>
        <w:rPr>
          <w:rFonts w:ascii="Arial" w:hAnsi="Arial" w:cs="Arial"/>
          <w:i/>
        </w:rPr>
      </w:pPr>
      <w:r w:rsidRPr="00382EFC">
        <w:rPr>
          <w:rFonts w:ascii="Arial" w:hAnsi="Arial" w:cs="Arial"/>
          <w:i/>
        </w:rPr>
        <w:t xml:space="preserve">The International Migration Statistics, 2025 publication is the first publication issued by DOSM to present international migration statistics. The scope of this publication relates to the stock of </w:t>
      </w:r>
      <w:r w:rsidR="007524A8" w:rsidRPr="00382EFC">
        <w:rPr>
          <w:rFonts w:ascii="Arial" w:hAnsi="Arial" w:cs="Arial"/>
          <w:i/>
        </w:rPr>
        <w:t>Non-citizens</w:t>
      </w:r>
      <w:r w:rsidRPr="00382EFC">
        <w:rPr>
          <w:rFonts w:ascii="Arial" w:hAnsi="Arial" w:cs="Arial"/>
          <w:i/>
        </w:rPr>
        <w:t xml:space="preserve"> in Malaysia and Malaysian Citizens abroad.</w:t>
      </w:r>
    </w:p>
    <w:p w14:paraId="20DF8250" w14:textId="77777777" w:rsidR="00156B8D" w:rsidRPr="00382EFC" w:rsidRDefault="00156B8D" w:rsidP="00382EFC">
      <w:pPr>
        <w:pStyle w:val="ListParagraph"/>
        <w:spacing w:after="0" w:line="360" w:lineRule="auto"/>
        <w:ind w:left="1166"/>
        <w:contextualSpacing w:val="0"/>
        <w:jc w:val="both"/>
        <w:rPr>
          <w:rFonts w:ascii="Arial" w:hAnsi="Arial" w:cs="Arial"/>
          <w:b/>
          <w:i/>
        </w:rPr>
      </w:pPr>
    </w:p>
    <w:p w14:paraId="6426B8DB" w14:textId="420765E4" w:rsidR="00055352" w:rsidRPr="00382EFC" w:rsidRDefault="00A5341C" w:rsidP="00382EFC">
      <w:pPr>
        <w:pStyle w:val="ListParagraph"/>
        <w:numPr>
          <w:ilvl w:val="1"/>
          <w:numId w:val="13"/>
        </w:numPr>
        <w:spacing w:after="0" w:line="360" w:lineRule="auto"/>
        <w:ind w:left="1134" w:hanging="567"/>
        <w:jc w:val="both"/>
        <w:rPr>
          <w:rFonts w:ascii="Arial" w:hAnsi="Arial" w:cs="Arial"/>
          <w:i/>
        </w:rPr>
      </w:pPr>
      <w:r w:rsidRPr="00382EFC">
        <w:rPr>
          <w:rFonts w:ascii="Arial" w:hAnsi="Arial" w:cs="Arial"/>
          <w:i/>
        </w:rPr>
        <w:t xml:space="preserve">The main scope presented in this publication is the 2025 current estimates of </w:t>
      </w:r>
      <w:r w:rsidR="00790677">
        <w:rPr>
          <w:rFonts w:ascii="Arial" w:hAnsi="Arial" w:cs="Arial"/>
          <w:i/>
        </w:rPr>
        <w:br/>
      </w:r>
      <w:r w:rsidR="007524A8" w:rsidRPr="00382EFC">
        <w:rPr>
          <w:rFonts w:ascii="Arial" w:hAnsi="Arial" w:cs="Arial"/>
          <w:i/>
        </w:rPr>
        <w:t>Non-citizens</w:t>
      </w:r>
      <w:r w:rsidRPr="00382EFC">
        <w:rPr>
          <w:rFonts w:ascii="Arial" w:hAnsi="Arial" w:cs="Arial"/>
          <w:i/>
        </w:rPr>
        <w:t xml:space="preserve"> up to the administrative district level. In addition, satellite statistics involving the stock of </w:t>
      </w:r>
      <w:r w:rsidR="007524A8" w:rsidRPr="00382EFC">
        <w:rPr>
          <w:rFonts w:ascii="Arial" w:hAnsi="Arial" w:cs="Arial"/>
          <w:i/>
        </w:rPr>
        <w:t>Non-citizens</w:t>
      </w:r>
      <w:r w:rsidRPr="00382EFC">
        <w:rPr>
          <w:rFonts w:ascii="Arial" w:hAnsi="Arial" w:cs="Arial"/>
          <w:i/>
        </w:rPr>
        <w:t xml:space="preserve"> in Malaysia and Malaysian Citizens abroad obtained from other DOSM and agency publications are also presented in this publication.</w:t>
      </w:r>
    </w:p>
    <w:p w14:paraId="2D6ABB21" w14:textId="77777777" w:rsidR="00156B8D" w:rsidRPr="00382EFC" w:rsidRDefault="00156B8D" w:rsidP="00382EFC">
      <w:pPr>
        <w:spacing w:after="0" w:line="360" w:lineRule="auto"/>
        <w:ind w:left="851" w:hanging="851"/>
        <w:jc w:val="both"/>
        <w:rPr>
          <w:rFonts w:ascii="Arial" w:hAnsi="Arial" w:cs="Arial"/>
          <w:i/>
        </w:rPr>
      </w:pPr>
    </w:p>
    <w:p w14:paraId="455EAEAE" w14:textId="79B07696" w:rsidR="00055352" w:rsidRPr="00382EFC" w:rsidRDefault="00DD76C6" w:rsidP="00382EFC">
      <w:pPr>
        <w:pStyle w:val="ListParagraph"/>
        <w:numPr>
          <w:ilvl w:val="1"/>
          <w:numId w:val="13"/>
        </w:numPr>
        <w:spacing w:after="0" w:line="360" w:lineRule="auto"/>
        <w:ind w:left="1134" w:hanging="567"/>
        <w:jc w:val="both"/>
        <w:rPr>
          <w:rFonts w:ascii="Arial" w:hAnsi="Arial" w:cs="Arial"/>
        </w:rPr>
      </w:pPr>
      <w:r w:rsidRPr="00382EFC">
        <w:rPr>
          <w:rFonts w:ascii="Arial" w:hAnsi="Arial" w:cs="Arial"/>
          <w:i/>
        </w:rPr>
        <w:t>These statistics are prepared for use by planners and policymakers in planning and implementing national development programmes as well as by the private sector and individuals for research purposes</w:t>
      </w:r>
      <w:r w:rsidRPr="00382EFC">
        <w:rPr>
          <w:rFonts w:ascii="Arial" w:hAnsi="Arial" w:cs="Arial"/>
        </w:rPr>
        <w:t>.</w:t>
      </w:r>
    </w:p>
    <w:p w14:paraId="09568100" w14:textId="77777777" w:rsidR="00A5341C" w:rsidRPr="00382EFC" w:rsidRDefault="00A5341C" w:rsidP="00382EFC">
      <w:pPr>
        <w:spacing w:after="0" w:line="360" w:lineRule="auto"/>
        <w:ind w:left="851" w:hanging="567"/>
        <w:jc w:val="both"/>
        <w:rPr>
          <w:rFonts w:ascii="Arial" w:hAnsi="Arial" w:cs="Arial"/>
        </w:rPr>
      </w:pPr>
    </w:p>
    <w:p w14:paraId="4D6D4DA3" w14:textId="2B825226" w:rsidR="00156B8D" w:rsidRPr="00382EFC" w:rsidRDefault="00DD76C6" w:rsidP="00382EFC">
      <w:pPr>
        <w:pStyle w:val="ListParagraph"/>
        <w:numPr>
          <w:ilvl w:val="1"/>
          <w:numId w:val="13"/>
        </w:numPr>
        <w:spacing w:after="0" w:line="360" w:lineRule="auto"/>
        <w:ind w:left="1134" w:hanging="567"/>
        <w:jc w:val="both"/>
        <w:rPr>
          <w:rFonts w:ascii="Arial" w:hAnsi="Arial" w:cs="Arial"/>
          <w:bCs/>
          <w:i/>
        </w:rPr>
      </w:pPr>
      <w:r w:rsidRPr="00382EFC">
        <w:rPr>
          <w:rFonts w:ascii="Arial" w:hAnsi="Arial" w:cs="Arial"/>
          <w:bCs/>
          <w:i/>
        </w:rPr>
        <w:t>The concepts and guidelines applied in the compilation of statistics in this publication are based on the Recommendations on Statistics of International Migration and Temporary Mobility (United Nations Statistics Division, 2025).</w:t>
      </w:r>
    </w:p>
    <w:p w14:paraId="317C4680" w14:textId="77777777" w:rsidR="00DD76C6" w:rsidRPr="00382EFC" w:rsidRDefault="00DD76C6" w:rsidP="00382EFC">
      <w:pPr>
        <w:spacing w:after="0" w:line="360" w:lineRule="auto"/>
        <w:ind w:left="851" w:hanging="567"/>
        <w:jc w:val="both"/>
        <w:rPr>
          <w:rFonts w:ascii="Arial" w:hAnsi="Arial" w:cs="Arial"/>
          <w:b/>
          <w:bCs/>
          <w:i/>
        </w:rPr>
      </w:pPr>
    </w:p>
    <w:p w14:paraId="6E78638A" w14:textId="1FAA32D8" w:rsidR="00055352" w:rsidRPr="00EE3FC8" w:rsidRDefault="00922335" w:rsidP="00EE3FC8">
      <w:pPr>
        <w:pStyle w:val="ListParagraph"/>
        <w:numPr>
          <w:ilvl w:val="0"/>
          <w:numId w:val="13"/>
        </w:numPr>
        <w:spacing w:after="240" w:line="360" w:lineRule="auto"/>
        <w:ind w:left="567" w:hanging="567"/>
        <w:contextualSpacing w:val="0"/>
        <w:jc w:val="both"/>
        <w:rPr>
          <w:rFonts w:ascii="Arial" w:hAnsi="Arial" w:cs="Arial"/>
          <w:b/>
          <w:bCs/>
          <w:i/>
        </w:rPr>
      </w:pPr>
      <w:r w:rsidRPr="00382EFC">
        <w:rPr>
          <w:rFonts w:ascii="Arial" w:hAnsi="Arial" w:cs="Arial"/>
          <w:b/>
          <w:bCs/>
          <w:i/>
        </w:rPr>
        <w:t xml:space="preserve">RECOMMENDATIONS ON STATISTICS OF INTERNATIONAL MIGRATION AND TEMPORARY MOBILITY </w:t>
      </w:r>
    </w:p>
    <w:p w14:paraId="6F5F563A" w14:textId="1378EA3C" w:rsidR="00055352" w:rsidRPr="00382EFC" w:rsidRDefault="00922335" w:rsidP="00382EFC">
      <w:pPr>
        <w:pStyle w:val="ListParagraph"/>
        <w:numPr>
          <w:ilvl w:val="1"/>
          <w:numId w:val="13"/>
        </w:numPr>
        <w:spacing w:after="0" w:line="360" w:lineRule="auto"/>
        <w:ind w:left="1134" w:hanging="567"/>
        <w:jc w:val="both"/>
        <w:rPr>
          <w:rFonts w:ascii="Arial" w:hAnsi="Arial" w:cs="Arial"/>
          <w:i/>
          <w:iCs/>
        </w:rPr>
      </w:pPr>
      <w:r w:rsidRPr="00382EFC">
        <w:rPr>
          <w:rFonts w:ascii="Arial" w:hAnsi="Arial" w:cs="Arial"/>
          <w:bCs/>
          <w:i/>
        </w:rPr>
        <w:t>The</w:t>
      </w:r>
      <w:r w:rsidRPr="00382EFC">
        <w:rPr>
          <w:rFonts w:ascii="Arial" w:hAnsi="Arial" w:cs="Arial"/>
          <w:i/>
        </w:rPr>
        <w:t xml:space="preserve"> UN has been developing migration statistics guidelines since 1953. The earlier comprehensive guidelines called the Recommendations on Statistics of International Migration were published in 1998. Due to significant changes in global migration patterns, the UN updated the guidelines in 2025 with the Revised Recommendations on Statistics of International Migration and Temporary Mobility which cover both international migration and temporary mobility.</w:t>
      </w:r>
    </w:p>
    <w:p w14:paraId="20BEAFAE" w14:textId="634A4971" w:rsidR="00922335" w:rsidRDefault="00922335" w:rsidP="00382EFC">
      <w:pPr>
        <w:pStyle w:val="ListParagraph"/>
        <w:spacing w:after="0" w:line="360" w:lineRule="auto"/>
        <w:ind w:left="1170"/>
        <w:contextualSpacing w:val="0"/>
        <w:jc w:val="both"/>
        <w:rPr>
          <w:rFonts w:ascii="Arial" w:hAnsi="Arial" w:cs="Arial"/>
          <w:i/>
          <w:iCs/>
        </w:rPr>
      </w:pPr>
    </w:p>
    <w:p w14:paraId="33F071EE" w14:textId="2A4F974C" w:rsidR="00EE3FC8" w:rsidRDefault="00EE3FC8" w:rsidP="00382EFC">
      <w:pPr>
        <w:pStyle w:val="ListParagraph"/>
        <w:spacing w:after="0" w:line="360" w:lineRule="auto"/>
        <w:ind w:left="1170"/>
        <w:contextualSpacing w:val="0"/>
        <w:jc w:val="both"/>
        <w:rPr>
          <w:rFonts w:ascii="Arial" w:hAnsi="Arial" w:cs="Arial"/>
          <w:i/>
          <w:iCs/>
        </w:rPr>
      </w:pPr>
    </w:p>
    <w:p w14:paraId="4A6BFE4C" w14:textId="2C079296" w:rsidR="00EE3FC8" w:rsidRDefault="00EE3FC8" w:rsidP="00382EFC">
      <w:pPr>
        <w:pStyle w:val="ListParagraph"/>
        <w:spacing w:after="0" w:line="360" w:lineRule="auto"/>
        <w:ind w:left="1170"/>
        <w:contextualSpacing w:val="0"/>
        <w:jc w:val="both"/>
        <w:rPr>
          <w:rFonts w:ascii="Arial" w:hAnsi="Arial" w:cs="Arial"/>
          <w:i/>
          <w:iCs/>
        </w:rPr>
      </w:pPr>
    </w:p>
    <w:p w14:paraId="398F4A53" w14:textId="49233715" w:rsidR="00EE3FC8" w:rsidRDefault="00EE3FC8" w:rsidP="00382EFC">
      <w:pPr>
        <w:pStyle w:val="ListParagraph"/>
        <w:spacing w:after="0" w:line="360" w:lineRule="auto"/>
        <w:ind w:left="1170"/>
        <w:contextualSpacing w:val="0"/>
        <w:jc w:val="both"/>
        <w:rPr>
          <w:rFonts w:ascii="Arial" w:hAnsi="Arial" w:cs="Arial"/>
          <w:i/>
          <w:iCs/>
        </w:rPr>
      </w:pPr>
    </w:p>
    <w:p w14:paraId="6704EDCE" w14:textId="4323D51F" w:rsidR="00EE3FC8" w:rsidRDefault="00EE3FC8" w:rsidP="00382EFC">
      <w:pPr>
        <w:pStyle w:val="ListParagraph"/>
        <w:spacing w:after="0" w:line="360" w:lineRule="auto"/>
        <w:ind w:left="1170"/>
        <w:contextualSpacing w:val="0"/>
        <w:jc w:val="both"/>
        <w:rPr>
          <w:rFonts w:ascii="Arial" w:hAnsi="Arial" w:cs="Arial"/>
          <w:i/>
          <w:iCs/>
        </w:rPr>
      </w:pPr>
    </w:p>
    <w:p w14:paraId="50B3E592" w14:textId="207AEDAE" w:rsidR="00EE3FC8" w:rsidRDefault="00EE3FC8" w:rsidP="00382EFC">
      <w:pPr>
        <w:pStyle w:val="ListParagraph"/>
        <w:spacing w:after="0" w:line="360" w:lineRule="auto"/>
        <w:ind w:left="1170"/>
        <w:contextualSpacing w:val="0"/>
        <w:jc w:val="both"/>
        <w:rPr>
          <w:rFonts w:ascii="Arial" w:hAnsi="Arial" w:cs="Arial"/>
          <w:i/>
          <w:iCs/>
        </w:rPr>
      </w:pPr>
    </w:p>
    <w:p w14:paraId="26FCE54F" w14:textId="4EF5CAE9" w:rsidR="00EE3FC8" w:rsidRDefault="00EE3FC8" w:rsidP="00382EFC">
      <w:pPr>
        <w:pStyle w:val="ListParagraph"/>
        <w:spacing w:after="0" w:line="360" w:lineRule="auto"/>
        <w:ind w:left="1170"/>
        <w:contextualSpacing w:val="0"/>
        <w:jc w:val="both"/>
        <w:rPr>
          <w:rFonts w:ascii="Arial" w:hAnsi="Arial" w:cs="Arial"/>
          <w:i/>
          <w:iCs/>
        </w:rPr>
      </w:pPr>
    </w:p>
    <w:p w14:paraId="467623DC" w14:textId="3D4A993F" w:rsidR="00EE3FC8" w:rsidRDefault="00EE3FC8" w:rsidP="00382EFC">
      <w:pPr>
        <w:pStyle w:val="ListParagraph"/>
        <w:spacing w:after="0" w:line="360" w:lineRule="auto"/>
        <w:ind w:left="1170"/>
        <w:contextualSpacing w:val="0"/>
        <w:jc w:val="both"/>
        <w:rPr>
          <w:rFonts w:ascii="Arial" w:hAnsi="Arial" w:cs="Arial"/>
          <w:i/>
          <w:iCs/>
        </w:rPr>
      </w:pPr>
    </w:p>
    <w:p w14:paraId="71E5D60F" w14:textId="1951E4EE" w:rsidR="00EE3FC8" w:rsidRDefault="00EE3FC8" w:rsidP="00382EFC">
      <w:pPr>
        <w:pStyle w:val="ListParagraph"/>
        <w:spacing w:after="0" w:line="360" w:lineRule="auto"/>
        <w:ind w:left="1170"/>
        <w:contextualSpacing w:val="0"/>
        <w:jc w:val="both"/>
        <w:rPr>
          <w:rFonts w:ascii="Arial" w:hAnsi="Arial" w:cs="Arial"/>
          <w:i/>
          <w:iCs/>
        </w:rPr>
      </w:pPr>
    </w:p>
    <w:p w14:paraId="75C82C17" w14:textId="77777777" w:rsidR="00EE3FC8" w:rsidRPr="00382EFC" w:rsidRDefault="00EE3FC8" w:rsidP="00382EFC">
      <w:pPr>
        <w:pStyle w:val="ListParagraph"/>
        <w:spacing w:after="0" w:line="360" w:lineRule="auto"/>
        <w:ind w:left="1170"/>
        <w:contextualSpacing w:val="0"/>
        <w:jc w:val="both"/>
        <w:rPr>
          <w:rFonts w:ascii="Arial" w:hAnsi="Arial" w:cs="Arial"/>
          <w:i/>
          <w:iCs/>
        </w:rPr>
      </w:pPr>
    </w:p>
    <w:p w14:paraId="65657AD5" w14:textId="4E2A1D85" w:rsidR="00922335" w:rsidRPr="00382EFC" w:rsidRDefault="00922335" w:rsidP="00382EFC">
      <w:pPr>
        <w:pStyle w:val="ListParagraph"/>
        <w:numPr>
          <w:ilvl w:val="1"/>
          <w:numId w:val="13"/>
        </w:numPr>
        <w:spacing w:after="0" w:line="360" w:lineRule="auto"/>
        <w:ind w:left="1134" w:hanging="567"/>
        <w:jc w:val="both"/>
        <w:rPr>
          <w:rFonts w:ascii="Arial" w:hAnsi="Arial" w:cs="Arial"/>
          <w:i/>
          <w:iCs/>
        </w:rPr>
      </w:pPr>
      <w:r w:rsidRPr="00382EFC">
        <w:rPr>
          <w:rFonts w:ascii="Arial" w:hAnsi="Arial" w:cs="Arial"/>
          <w:bCs/>
          <w:i/>
        </w:rPr>
        <w:lastRenderedPageBreak/>
        <w:t>The</w:t>
      </w:r>
      <w:r w:rsidRPr="00382EFC">
        <w:rPr>
          <w:rFonts w:ascii="Arial" w:hAnsi="Arial" w:cs="Arial"/>
          <w:i/>
          <w:iCs/>
        </w:rPr>
        <w:t xml:space="preserve"> UN emphasizes that statistics on migrant stocks and flows should be compiled by every country. There are four core migration statistics comprising two statistics for measuring international migration stocks and two statistics for measuring international migration flows. These core migration statistics form the basic requirements for understanding patterns of international migration stocks and flows as well as the changes that occur over time. The core statistics recommended to be produced by each country are shown in Table 1.</w:t>
      </w:r>
    </w:p>
    <w:p w14:paraId="6CA9A2C3" w14:textId="77777777" w:rsidR="00D45F23" w:rsidRDefault="00D45F23" w:rsidP="00382EFC">
      <w:pPr>
        <w:pStyle w:val="ListParagraph"/>
        <w:spacing w:after="0" w:line="360" w:lineRule="auto"/>
        <w:ind w:left="792"/>
        <w:contextualSpacing w:val="0"/>
        <w:jc w:val="both"/>
        <w:rPr>
          <w:rFonts w:ascii="Arial" w:hAnsi="Arial" w:cs="Arial"/>
          <w:i/>
        </w:rPr>
      </w:pPr>
    </w:p>
    <w:p w14:paraId="32DC1AB4" w14:textId="62E01049" w:rsidR="00BE2926" w:rsidRPr="00EE3FC8" w:rsidRDefault="00922335" w:rsidP="00EE3FC8">
      <w:pPr>
        <w:pStyle w:val="ListParagraph"/>
        <w:spacing w:after="120" w:line="360" w:lineRule="auto"/>
        <w:ind w:left="1134" w:hanging="1134"/>
        <w:contextualSpacing w:val="0"/>
        <w:jc w:val="both"/>
        <w:rPr>
          <w:rFonts w:ascii="Arial" w:hAnsi="Arial" w:cs="Arial"/>
          <w:b/>
          <w:bCs/>
          <w:i/>
        </w:rPr>
      </w:pPr>
      <w:r w:rsidRPr="00382EFC">
        <w:rPr>
          <w:rFonts w:ascii="Arial" w:hAnsi="Arial" w:cs="Arial"/>
          <w:b/>
          <w:bCs/>
          <w:i/>
        </w:rPr>
        <w:t>Table</w:t>
      </w:r>
      <w:r w:rsidR="00BE2926">
        <w:rPr>
          <w:rFonts w:ascii="Arial" w:hAnsi="Arial" w:cs="Arial"/>
          <w:b/>
          <w:bCs/>
          <w:i/>
        </w:rPr>
        <w:t xml:space="preserve"> 1:</w:t>
      </w:r>
      <w:r w:rsidR="00BE2926">
        <w:rPr>
          <w:rFonts w:ascii="Arial" w:hAnsi="Arial" w:cs="Arial"/>
          <w:b/>
          <w:bCs/>
          <w:i/>
        </w:rPr>
        <w:tab/>
      </w:r>
      <w:r w:rsidRPr="00382EFC">
        <w:rPr>
          <w:rFonts w:ascii="Arial" w:hAnsi="Arial" w:cs="Arial"/>
          <w:b/>
          <w:bCs/>
          <w:i/>
        </w:rPr>
        <w:t>Core migration statistics and topics on measuring international migration stocks and flows</w:t>
      </w:r>
    </w:p>
    <w:tbl>
      <w:tblPr>
        <w:tblStyle w:val="TableGrid"/>
        <w:tblW w:w="10310" w:type="dxa"/>
        <w:tblInd w:w="-5" w:type="dxa"/>
        <w:tblLook w:val="04A0" w:firstRow="1" w:lastRow="0" w:firstColumn="1" w:lastColumn="0" w:noHBand="0" w:noVBand="1"/>
      </w:tblPr>
      <w:tblGrid>
        <w:gridCol w:w="2127"/>
        <w:gridCol w:w="998"/>
        <w:gridCol w:w="4672"/>
        <w:gridCol w:w="2513"/>
      </w:tblGrid>
      <w:tr w:rsidR="00382EFC" w:rsidRPr="00382EFC" w14:paraId="6D480824" w14:textId="77777777" w:rsidTr="00D45F23">
        <w:trPr>
          <w:tblHeader/>
        </w:trPr>
        <w:tc>
          <w:tcPr>
            <w:tcW w:w="3125" w:type="dxa"/>
            <w:gridSpan w:val="2"/>
            <w:shd w:val="clear" w:color="auto" w:fill="B8CCE4" w:themeFill="accent1" w:themeFillTint="66"/>
            <w:vAlign w:val="center"/>
          </w:tcPr>
          <w:p w14:paraId="044B611F" w14:textId="1DC217D7" w:rsidR="00BE2926" w:rsidRDefault="002E2BAE" w:rsidP="00EE3FC8">
            <w:pPr>
              <w:pStyle w:val="ListParagraph"/>
              <w:spacing w:after="0"/>
              <w:ind w:left="0"/>
              <w:contextualSpacing w:val="0"/>
              <w:jc w:val="center"/>
              <w:rPr>
                <w:rFonts w:ascii="Arial" w:hAnsi="Arial" w:cs="Arial"/>
                <w:b/>
                <w:bCs/>
                <w:i/>
              </w:rPr>
            </w:pPr>
            <w:r w:rsidRPr="00382EFC">
              <w:rPr>
                <w:rFonts w:ascii="Arial" w:hAnsi="Arial" w:cs="Arial"/>
                <w:b/>
                <w:bCs/>
                <w:i/>
              </w:rPr>
              <w:t xml:space="preserve">Core </w:t>
            </w:r>
            <w:r w:rsidR="00790677">
              <w:rPr>
                <w:rFonts w:ascii="Arial" w:hAnsi="Arial" w:cs="Arial"/>
                <w:b/>
                <w:bCs/>
                <w:i/>
              </w:rPr>
              <w:t>m</w:t>
            </w:r>
            <w:r w:rsidRPr="00382EFC">
              <w:rPr>
                <w:rFonts w:ascii="Arial" w:hAnsi="Arial" w:cs="Arial"/>
                <w:b/>
                <w:bCs/>
                <w:i/>
              </w:rPr>
              <w:t>igration</w:t>
            </w:r>
          </w:p>
          <w:p w14:paraId="62BBF1D3" w14:textId="77BB2807" w:rsidR="004A3C82" w:rsidRPr="00382EFC" w:rsidRDefault="00790677" w:rsidP="00EE3FC8">
            <w:pPr>
              <w:pStyle w:val="ListParagraph"/>
              <w:spacing w:after="0"/>
              <w:ind w:left="0"/>
              <w:contextualSpacing w:val="0"/>
              <w:jc w:val="center"/>
              <w:rPr>
                <w:rFonts w:ascii="Arial" w:hAnsi="Arial" w:cs="Arial"/>
                <w:b/>
                <w:bCs/>
                <w:i/>
              </w:rPr>
            </w:pPr>
            <w:r>
              <w:rPr>
                <w:rFonts w:ascii="Arial" w:hAnsi="Arial" w:cs="Arial"/>
                <w:b/>
                <w:bCs/>
                <w:i/>
              </w:rPr>
              <w:t>s</w:t>
            </w:r>
            <w:r w:rsidR="002E2BAE" w:rsidRPr="00382EFC">
              <w:rPr>
                <w:rFonts w:ascii="Arial" w:hAnsi="Arial" w:cs="Arial"/>
                <w:b/>
                <w:bCs/>
                <w:i/>
              </w:rPr>
              <w:t>tatistics</w:t>
            </w:r>
          </w:p>
        </w:tc>
        <w:tc>
          <w:tcPr>
            <w:tcW w:w="4672" w:type="dxa"/>
            <w:shd w:val="clear" w:color="auto" w:fill="B8CCE4" w:themeFill="accent1" w:themeFillTint="66"/>
            <w:vAlign w:val="center"/>
          </w:tcPr>
          <w:p w14:paraId="5F39209D" w14:textId="7DC82024" w:rsidR="004A3C82" w:rsidRPr="00382EFC" w:rsidRDefault="002E2BAE" w:rsidP="00EE3FC8">
            <w:pPr>
              <w:pStyle w:val="ListParagraph"/>
              <w:spacing w:after="0"/>
              <w:ind w:left="0"/>
              <w:contextualSpacing w:val="0"/>
              <w:jc w:val="center"/>
              <w:rPr>
                <w:rFonts w:ascii="Arial" w:hAnsi="Arial" w:cs="Arial"/>
                <w:b/>
                <w:bCs/>
                <w:i/>
              </w:rPr>
            </w:pPr>
            <w:r w:rsidRPr="00382EFC">
              <w:rPr>
                <w:rFonts w:ascii="Arial" w:hAnsi="Arial" w:cs="Arial"/>
                <w:b/>
                <w:bCs/>
                <w:i/>
              </w:rPr>
              <w:t>Topics</w:t>
            </w:r>
          </w:p>
        </w:tc>
        <w:tc>
          <w:tcPr>
            <w:tcW w:w="2513" w:type="dxa"/>
            <w:shd w:val="clear" w:color="auto" w:fill="B8CCE4" w:themeFill="accent1" w:themeFillTint="66"/>
          </w:tcPr>
          <w:p w14:paraId="2DA515A1" w14:textId="77777777" w:rsidR="004A3C82" w:rsidRPr="00BE2926" w:rsidRDefault="004A3C82" w:rsidP="00BE2926">
            <w:pPr>
              <w:spacing w:after="0" w:line="360" w:lineRule="auto"/>
              <w:jc w:val="both"/>
              <w:rPr>
                <w:rFonts w:ascii="Arial" w:hAnsi="Arial" w:cs="Arial"/>
                <w:b/>
                <w:bCs/>
                <w:i/>
              </w:rPr>
            </w:pPr>
          </w:p>
          <w:p w14:paraId="313B9F3A" w14:textId="41FFD097" w:rsidR="004A3C82" w:rsidRPr="00382EFC" w:rsidRDefault="002E2BAE" w:rsidP="00DD38F9">
            <w:pPr>
              <w:pStyle w:val="ListParagraph"/>
              <w:spacing w:after="0" w:line="240" w:lineRule="auto"/>
              <w:ind w:left="0"/>
              <w:contextualSpacing w:val="0"/>
              <w:jc w:val="center"/>
              <w:rPr>
                <w:rFonts w:ascii="Arial" w:hAnsi="Arial" w:cs="Arial"/>
                <w:b/>
                <w:bCs/>
                <w:i/>
              </w:rPr>
            </w:pPr>
            <w:r w:rsidRPr="00382EFC">
              <w:rPr>
                <w:rFonts w:ascii="Arial" w:hAnsi="Arial" w:cs="Arial"/>
                <w:b/>
                <w:bCs/>
                <w:i/>
              </w:rPr>
              <w:t>Primary disaggregation</w:t>
            </w:r>
          </w:p>
          <w:p w14:paraId="57583076" w14:textId="77777777" w:rsidR="004A3C82" w:rsidRPr="00382EFC" w:rsidRDefault="004A3C82" w:rsidP="00382EFC">
            <w:pPr>
              <w:pStyle w:val="ListParagraph"/>
              <w:spacing w:after="0" w:line="360" w:lineRule="auto"/>
              <w:ind w:left="0"/>
              <w:contextualSpacing w:val="0"/>
              <w:jc w:val="both"/>
              <w:rPr>
                <w:rFonts w:ascii="Arial" w:hAnsi="Arial" w:cs="Arial"/>
                <w:b/>
                <w:bCs/>
                <w:i/>
              </w:rPr>
            </w:pPr>
          </w:p>
        </w:tc>
      </w:tr>
      <w:tr w:rsidR="00356221" w:rsidRPr="00382EFC" w14:paraId="06BE0769" w14:textId="77777777" w:rsidTr="00D45F23">
        <w:tc>
          <w:tcPr>
            <w:tcW w:w="2127" w:type="dxa"/>
            <w:vMerge w:val="restart"/>
            <w:vAlign w:val="center"/>
          </w:tcPr>
          <w:p w14:paraId="14386131" w14:textId="7F5A70B2" w:rsidR="00356221" w:rsidRPr="00382EFC" w:rsidRDefault="00356221" w:rsidP="00EE3FC8">
            <w:pPr>
              <w:pStyle w:val="ListParagraph"/>
              <w:spacing w:after="0"/>
              <w:ind w:left="0"/>
              <w:contextualSpacing w:val="0"/>
              <w:jc w:val="both"/>
              <w:rPr>
                <w:rFonts w:ascii="Arial" w:hAnsi="Arial" w:cs="Arial"/>
                <w:bCs/>
                <w:i/>
              </w:rPr>
            </w:pPr>
            <w:r w:rsidRPr="00382EFC">
              <w:rPr>
                <w:rFonts w:ascii="Arial" w:hAnsi="Arial" w:cs="Arial"/>
                <w:bCs/>
                <w:i/>
              </w:rPr>
              <w:t>Stocks</w:t>
            </w:r>
          </w:p>
        </w:tc>
        <w:tc>
          <w:tcPr>
            <w:tcW w:w="998" w:type="dxa"/>
          </w:tcPr>
          <w:p w14:paraId="51F551F1" w14:textId="77777777" w:rsidR="00356221" w:rsidRPr="00382EFC" w:rsidRDefault="00356221" w:rsidP="00EE3FC8">
            <w:pPr>
              <w:spacing w:before="60" w:after="0"/>
              <w:jc w:val="center"/>
              <w:rPr>
                <w:rFonts w:ascii="Arial" w:hAnsi="Arial" w:cs="Arial"/>
                <w:bCs/>
                <w:i/>
              </w:rPr>
            </w:pPr>
            <w:r w:rsidRPr="00382EFC">
              <w:rPr>
                <w:rFonts w:ascii="Arial" w:hAnsi="Arial" w:cs="Arial"/>
                <w:bCs/>
                <w:i/>
              </w:rPr>
              <w:t>1.1</w:t>
            </w:r>
          </w:p>
        </w:tc>
        <w:tc>
          <w:tcPr>
            <w:tcW w:w="4672" w:type="dxa"/>
          </w:tcPr>
          <w:p w14:paraId="4B556CC8" w14:textId="622384AD" w:rsidR="00356221" w:rsidRPr="00BE2926" w:rsidRDefault="00356221" w:rsidP="00EE3FC8">
            <w:pPr>
              <w:spacing w:before="60" w:after="0"/>
              <w:ind w:right="170"/>
              <w:jc w:val="both"/>
              <w:rPr>
                <w:rFonts w:ascii="Arial" w:hAnsi="Arial" w:cs="Arial"/>
                <w:bCs/>
                <w:i/>
              </w:rPr>
            </w:pPr>
            <w:r w:rsidRPr="00BE2926">
              <w:rPr>
                <w:rFonts w:ascii="Arial" w:hAnsi="Arial" w:cs="Arial"/>
                <w:bCs/>
                <w:i/>
              </w:rPr>
              <w:t>Number/ proportion of ______ in the total resident population</w:t>
            </w:r>
          </w:p>
          <w:p w14:paraId="273B1384" w14:textId="0F7CDF3D"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persons</w:t>
            </w:r>
          </w:p>
          <w:p w14:paraId="20688725" w14:textId="715695DD"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 citizens</w:t>
            </w:r>
          </w:p>
          <w:p w14:paraId="65156843" w14:textId="185120B1"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citizens</w:t>
            </w:r>
          </w:p>
          <w:p w14:paraId="65F47C0F" w14:textId="20468445" w:rsidR="00356221" w:rsidRPr="00382EFC" w:rsidRDefault="00356221" w:rsidP="00EE3FC8">
            <w:pPr>
              <w:numPr>
                <w:ilvl w:val="0"/>
                <w:numId w:val="16"/>
              </w:numPr>
              <w:spacing w:after="0"/>
              <w:ind w:left="284" w:hanging="284"/>
              <w:jc w:val="both"/>
              <w:rPr>
                <w:rFonts w:ascii="Arial" w:hAnsi="Arial" w:cs="Arial"/>
                <w:bCs/>
                <w:i/>
                <w:lang w:val="en-US"/>
              </w:rPr>
            </w:pPr>
            <w:r w:rsidRPr="00382EFC">
              <w:rPr>
                <w:rFonts w:ascii="Arial" w:hAnsi="Arial" w:cs="Arial"/>
                <w:bCs/>
                <w:i/>
                <w:lang w:val="en-US"/>
              </w:rPr>
              <w:t>Native-born foreign citizens</w:t>
            </w:r>
          </w:p>
          <w:p w14:paraId="014DB9AC" w14:textId="7209D868"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foreign citizens</w:t>
            </w:r>
          </w:p>
          <w:p w14:paraId="6EC7F87F" w14:textId="5EC0F126" w:rsidR="00356221" w:rsidRPr="00382EFC" w:rsidRDefault="00356221" w:rsidP="00EE3FC8">
            <w:pPr>
              <w:numPr>
                <w:ilvl w:val="0"/>
                <w:numId w:val="16"/>
              </w:numPr>
              <w:spacing w:after="60"/>
              <w:ind w:left="284" w:hanging="284"/>
              <w:jc w:val="both"/>
              <w:rPr>
                <w:rFonts w:ascii="Arial" w:hAnsi="Arial" w:cs="Arial"/>
                <w:bCs/>
                <w:i/>
                <w:lang w:val="en-US"/>
              </w:rPr>
            </w:pPr>
            <w:r w:rsidRPr="00382EFC">
              <w:rPr>
                <w:rFonts w:ascii="Arial" w:hAnsi="Arial" w:cs="Arial"/>
                <w:bCs/>
                <w:i/>
                <w:lang w:val="en-US"/>
              </w:rPr>
              <w:t>Native-born (native) citizens</w:t>
            </w:r>
          </w:p>
        </w:tc>
        <w:tc>
          <w:tcPr>
            <w:tcW w:w="2513" w:type="dxa"/>
            <w:vMerge w:val="restart"/>
            <w:vAlign w:val="center"/>
          </w:tcPr>
          <w:p w14:paraId="08950CD3" w14:textId="1964EBD0" w:rsidR="00356221" w:rsidRPr="00382EFC" w:rsidRDefault="00356221" w:rsidP="00EE3FC8">
            <w:pPr>
              <w:pStyle w:val="ListParagraph"/>
              <w:numPr>
                <w:ilvl w:val="0"/>
                <w:numId w:val="20"/>
              </w:numPr>
              <w:spacing w:after="0"/>
              <w:ind w:left="321" w:hanging="284"/>
              <w:contextualSpacing w:val="0"/>
              <w:jc w:val="both"/>
              <w:rPr>
                <w:rFonts w:ascii="Arial" w:hAnsi="Arial" w:cs="Arial"/>
                <w:bCs/>
                <w:i/>
              </w:rPr>
            </w:pPr>
            <w:r w:rsidRPr="00382EFC">
              <w:rPr>
                <w:rFonts w:ascii="Arial" w:hAnsi="Arial" w:cs="Arial"/>
                <w:bCs/>
                <w:i/>
              </w:rPr>
              <w:t>Age</w:t>
            </w:r>
          </w:p>
          <w:p w14:paraId="5919AD14" w14:textId="09FFAB2E" w:rsidR="00356221" w:rsidRPr="00382EFC" w:rsidRDefault="00356221" w:rsidP="00EE3FC8">
            <w:pPr>
              <w:pStyle w:val="ListParagraph"/>
              <w:numPr>
                <w:ilvl w:val="0"/>
                <w:numId w:val="20"/>
              </w:numPr>
              <w:spacing w:after="0"/>
              <w:ind w:left="321" w:hanging="284"/>
              <w:contextualSpacing w:val="0"/>
              <w:jc w:val="both"/>
              <w:rPr>
                <w:rFonts w:ascii="Arial" w:hAnsi="Arial" w:cs="Arial"/>
                <w:bCs/>
                <w:i/>
              </w:rPr>
            </w:pPr>
            <w:r w:rsidRPr="00382EFC">
              <w:rPr>
                <w:rFonts w:ascii="Arial" w:hAnsi="Arial" w:cs="Arial"/>
                <w:bCs/>
                <w:i/>
              </w:rPr>
              <w:t>Sex</w:t>
            </w:r>
          </w:p>
          <w:p w14:paraId="4911BB78" w14:textId="3056AA3A" w:rsidR="00356221" w:rsidRPr="00382EFC" w:rsidRDefault="00356221" w:rsidP="00EE3FC8">
            <w:pPr>
              <w:pStyle w:val="ListParagraph"/>
              <w:numPr>
                <w:ilvl w:val="0"/>
                <w:numId w:val="20"/>
              </w:numPr>
              <w:spacing w:after="0"/>
              <w:ind w:left="321" w:hanging="284"/>
              <w:contextualSpacing w:val="0"/>
              <w:jc w:val="both"/>
              <w:rPr>
                <w:rFonts w:ascii="Arial" w:hAnsi="Arial" w:cs="Arial"/>
                <w:bCs/>
                <w:i/>
              </w:rPr>
            </w:pPr>
            <w:r w:rsidRPr="00382EFC">
              <w:rPr>
                <w:rFonts w:ascii="Arial" w:hAnsi="Arial" w:cs="Arial"/>
                <w:bCs/>
                <w:i/>
              </w:rPr>
              <w:t>Country of birth</w:t>
            </w:r>
          </w:p>
          <w:p w14:paraId="4851D751" w14:textId="461B118E" w:rsidR="00356221" w:rsidRPr="00382EFC" w:rsidRDefault="00356221" w:rsidP="00EE3FC8">
            <w:pPr>
              <w:pStyle w:val="ListParagraph"/>
              <w:numPr>
                <w:ilvl w:val="0"/>
                <w:numId w:val="20"/>
              </w:numPr>
              <w:spacing w:after="0"/>
              <w:ind w:left="321" w:hanging="284"/>
              <w:contextualSpacing w:val="0"/>
              <w:rPr>
                <w:rFonts w:ascii="Arial" w:hAnsi="Arial" w:cs="Arial"/>
                <w:bCs/>
                <w:i/>
              </w:rPr>
            </w:pPr>
            <w:r w:rsidRPr="00382EFC">
              <w:rPr>
                <w:rFonts w:ascii="Arial" w:hAnsi="Arial" w:cs="Arial"/>
                <w:bCs/>
                <w:i/>
              </w:rPr>
              <w:t>Country of citizenship</w:t>
            </w:r>
          </w:p>
        </w:tc>
      </w:tr>
      <w:tr w:rsidR="00356221" w:rsidRPr="00382EFC" w14:paraId="218A7B7E" w14:textId="77777777" w:rsidTr="00D45F23">
        <w:tc>
          <w:tcPr>
            <w:tcW w:w="2127" w:type="dxa"/>
            <w:vMerge/>
          </w:tcPr>
          <w:p w14:paraId="432EF779" w14:textId="77777777" w:rsidR="00356221" w:rsidRPr="00382EFC" w:rsidRDefault="00356221" w:rsidP="00EE3FC8">
            <w:pPr>
              <w:pStyle w:val="ListParagraph"/>
              <w:numPr>
                <w:ilvl w:val="0"/>
                <w:numId w:val="13"/>
              </w:numPr>
              <w:spacing w:after="0"/>
              <w:contextualSpacing w:val="0"/>
              <w:jc w:val="both"/>
              <w:rPr>
                <w:rFonts w:ascii="Arial" w:hAnsi="Arial" w:cs="Arial"/>
                <w:bCs/>
                <w:i/>
              </w:rPr>
            </w:pPr>
          </w:p>
        </w:tc>
        <w:tc>
          <w:tcPr>
            <w:tcW w:w="998" w:type="dxa"/>
          </w:tcPr>
          <w:p w14:paraId="7BD8BCDD" w14:textId="77777777" w:rsidR="00356221" w:rsidRPr="00BE2926" w:rsidRDefault="00356221" w:rsidP="00EE3FC8">
            <w:pPr>
              <w:spacing w:before="60" w:after="0" w:line="240" w:lineRule="auto"/>
              <w:jc w:val="center"/>
              <w:rPr>
                <w:rFonts w:ascii="Arial" w:hAnsi="Arial" w:cs="Arial"/>
                <w:bCs/>
                <w:i/>
              </w:rPr>
            </w:pPr>
            <w:r w:rsidRPr="00BE2926">
              <w:rPr>
                <w:rFonts w:ascii="Arial" w:hAnsi="Arial" w:cs="Arial"/>
                <w:bCs/>
                <w:i/>
              </w:rPr>
              <w:t>1.2</w:t>
            </w:r>
          </w:p>
        </w:tc>
        <w:tc>
          <w:tcPr>
            <w:tcW w:w="4672" w:type="dxa"/>
          </w:tcPr>
          <w:p w14:paraId="44D2574E" w14:textId="341B1E9C" w:rsidR="00356221" w:rsidRPr="00BE2926" w:rsidRDefault="00356221" w:rsidP="00EE3FC8">
            <w:pPr>
              <w:spacing w:before="60" w:after="0"/>
              <w:ind w:right="170"/>
              <w:jc w:val="both"/>
              <w:rPr>
                <w:rFonts w:ascii="Arial" w:hAnsi="Arial" w:cs="Arial"/>
                <w:bCs/>
                <w:i/>
              </w:rPr>
            </w:pPr>
            <w:r w:rsidRPr="00BE2926">
              <w:rPr>
                <w:rFonts w:ascii="Arial" w:hAnsi="Arial" w:cs="Arial"/>
                <w:bCs/>
                <w:i/>
              </w:rPr>
              <w:t>Number of ______ who obtained citizenship over a given year</w:t>
            </w:r>
          </w:p>
          <w:p w14:paraId="546C3043" w14:textId="0C507897"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Native-born foreign citizens</w:t>
            </w:r>
          </w:p>
          <w:p w14:paraId="55846DE1" w14:textId="4B4AB29E" w:rsidR="00356221" w:rsidRPr="00382EFC" w:rsidRDefault="00356221" w:rsidP="00EE3FC8">
            <w:pPr>
              <w:pStyle w:val="ListParagraph"/>
              <w:numPr>
                <w:ilvl w:val="0"/>
                <w:numId w:val="16"/>
              </w:numPr>
              <w:spacing w:after="60"/>
              <w:ind w:left="284" w:hanging="284"/>
              <w:contextualSpacing w:val="0"/>
              <w:jc w:val="both"/>
              <w:rPr>
                <w:rFonts w:ascii="Arial" w:hAnsi="Arial" w:cs="Arial"/>
                <w:bCs/>
                <w:i/>
              </w:rPr>
            </w:pPr>
            <w:r w:rsidRPr="00382EFC">
              <w:rPr>
                <w:rFonts w:ascii="Arial" w:hAnsi="Arial" w:cs="Arial"/>
                <w:bCs/>
                <w:i/>
              </w:rPr>
              <w:t>Foreign-born foreign citizens</w:t>
            </w:r>
          </w:p>
        </w:tc>
        <w:tc>
          <w:tcPr>
            <w:tcW w:w="2513" w:type="dxa"/>
            <w:vMerge/>
          </w:tcPr>
          <w:p w14:paraId="54782E06" w14:textId="77777777" w:rsidR="00356221" w:rsidRPr="00382EFC" w:rsidRDefault="00356221" w:rsidP="00382EFC">
            <w:pPr>
              <w:pStyle w:val="ListParagraph"/>
              <w:numPr>
                <w:ilvl w:val="0"/>
                <w:numId w:val="13"/>
              </w:numPr>
              <w:spacing w:after="0" w:line="360" w:lineRule="auto"/>
              <w:contextualSpacing w:val="0"/>
              <w:jc w:val="both"/>
              <w:rPr>
                <w:rFonts w:ascii="Arial" w:hAnsi="Arial" w:cs="Arial"/>
                <w:bCs/>
                <w:i/>
              </w:rPr>
            </w:pPr>
          </w:p>
        </w:tc>
      </w:tr>
      <w:tr w:rsidR="00356221" w:rsidRPr="00382EFC" w14:paraId="3B2820E2" w14:textId="77777777" w:rsidTr="00D45F23">
        <w:tc>
          <w:tcPr>
            <w:tcW w:w="2127" w:type="dxa"/>
            <w:vMerge w:val="restart"/>
            <w:vAlign w:val="center"/>
          </w:tcPr>
          <w:p w14:paraId="58B0460C" w14:textId="0A70DE18" w:rsidR="00356221" w:rsidRPr="00382EFC" w:rsidRDefault="00356221" w:rsidP="00EE3FC8">
            <w:pPr>
              <w:pStyle w:val="ListParagraph"/>
              <w:spacing w:after="0"/>
              <w:ind w:left="29"/>
              <w:contextualSpacing w:val="0"/>
              <w:jc w:val="both"/>
              <w:rPr>
                <w:rFonts w:ascii="Arial" w:hAnsi="Arial" w:cs="Arial"/>
                <w:bCs/>
                <w:i/>
              </w:rPr>
            </w:pPr>
            <w:r w:rsidRPr="00382EFC">
              <w:rPr>
                <w:rFonts w:ascii="Arial" w:hAnsi="Arial" w:cs="Arial"/>
                <w:bCs/>
                <w:i/>
              </w:rPr>
              <w:t>Flows</w:t>
            </w:r>
          </w:p>
        </w:tc>
        <w:tc>
          <w:tcPr>
            <w:tcW w:w="998" w:type="dxa"/>
          </w:tcPr>
          <w:p w14:paraId="7D7C19D1" w14:textId="77777777" w:rsidR="00356221" w:rsidRPr="00382EFC" w:rsidRDefault="00356221" w:rsidP="00EE3FC8">
            <w:pPr>
              <w:spacing w:before="60" w:after="0"/>
              <w:jc w:val="center"/>
              <w:rPr>
                <w:rFonts w:ascii="Arial" w:hAnsi="Arial" w:cs="Arial"/>
                <w:bCs/>
                <w:i/>
              </w:rPr>
            </w:pPr>
            <w:r w:rsidRPr="00382EFC">
              <w:rPr>
                <w:rFonts w:ascii="Arial" w:hAnsi="Arial" w:cs="Arial"/>
                <w:bCs/>
                <w:i/>
              </w:rPr>
              <w:t>1.3</w:t>
            </w:r>
          </w:p>
        </w:tc>
        <w:tc>
          <w:tcPr>
            <w:tcW w:w="4672" w:type="dxa"/>
          </w:tcPr>
          <w:p w14:paraId="6DF0723C" w14:textId="56BA1527" w:rsidR="00356221" w:rsidRPr="00BE2926" w:rsidRDefault="00356221" w:rsidP="00EE3FC8">
            <w:pPr>
              <w:spacing w:before="60" w:after="0"/>
              <w:ind w:right="312"/>
              <w:jc w:val="both"/>
              <w:rPr>
                <w:rFonts w:ascii="Arial" w:hAnsi="Arial" w:cs="Arial"/>
                <w:bCs/>
                <w:i/>
              </w:rPr>
            </w:pPr>
            <w:r w:rsidRPr="00BE2926">
              <w:rPr>
                <w:rFonts w:ascii="Arial" w:hAnsi="Arial" w:cs="Arial"/>
                <w:bCs/>
                <w:i/>
              </w:rPr>
              <w:t xml:space="preserve">Annual number of immigrants who </w:t>
            </w:r>
            <w:r>
              <w:rPr>
                <w:rFonts w:ascii="Arial" w:hAnsi="Arial" w:cs="Arial"/>
                <w:bCs/>
                <w:i/>
              </w:rPr>
              <w:br/>
            </w:r>
            <w:r w:rsidRPr="00BE2926">
              <w:rPr>
                <w:rFonts w:ascii="Arial" w:hAnsi="Arial" w:cs="Arial"/>
                <w:bCs/>
                <w:i/>
              </w:rPr>
              <w:t xml:space="preserve">are ______ </w:t>
            </w:r>
          </w:p>
          <w:p w14:paraId="3C5B5D0F" w14:textId="4399C6F9"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persons</w:t>
            </w:r>
          </w:p>
          <w:p w14:paraId="180DECA2" w14:textId="14BE476C"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 citizens</w:t>
            </w:r>
          </w:p>
          <w:p w14:paraId="693BB0B5" w14:textId="547B0233"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citizens</w:t>
            </w:r>
          </w:p>
          <w:p w14:paraId="31F6EFE3" w14:textId="7B6B5081"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Native-born foreign citizens</w:t>
            </w:r>
          </w:p>
          <w:p w14:paraId="695DB306" w14:textId="2985B880"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foreign citizens</w:t>
            </w:r>
          </w:p>
          <w:p w14:paraId="4B980E3B" w14:textId="7FAA64CA" w:rsidR="00356221" w:rsidRPr="00382EFC" w:rsidRDefault="00356221" w:rsidP="00EE3FC8">
            <w:pPr>
              <w:pStyle w:val="ListParagraph"/>
              <w:numPr>
                <w:ilvl w:val="0"/>
                <w:numId w:val="16"/>
              </w:numPr>
              <w:spacing w:after="60"/>
              <w:ind w:left="284" w:hanging="284"/>
              <w:contextualSpacing w:val="0"/>
              <w:jc w:val="both"/>
              <w:rPr>
                <w:rFonts w:ascii="Arial" w:hAnsi="Arial" w:cs="Arial"/>
                <w:bCs/>
                <w:i/>
              </w:rPr>
            </w:pPr>
            <w:r w:rsidRPr="00382EFC">
              <w:rPr>
                <w:rFonts w:ascii="Arial" w:hAnsi="Arial" w:cs="Arial"/>
                <w:bCs/>
                <w:i/>
              </w:rPr>
              <w:t>Native-born (native) citizens</w:t>
            </w:r>
          </w:p>
        </w:tc>
        <w:tc>
          <w:tcPr>
            <w:tcW w:w="2513" w:type="dxa"/>
            <w:vMerge/>
          </w:tcPr>
          <w:p w14:paraId="2366D5E3" w14:textId="77777777" w:rsidR="00356221" w:rsidRPr="00382EFC" w:rsidRDefault="00356221" w:rsidP="00DD38F9">
            <w:pPr>
              <w:pStyle w:val="ListParagraph"/>
              <w:spacing w:after="0" w:line="360" w:lineRule="auto"/>
              <w:contextualSpacing w:val="0"/>
              <w:jc w:val="both"/>
              <w:rPr>
                <w:rFonts w:ascii="Arial" w:hAnsi="Arial" w:cs="Arial"/>
                <w:bCs/>
                <w:i/>
              </w:rPr>
            </w:pPr>
          </w:p>
        </w:tc>
      </w:tr>
      <w:tr w:rsidR="00356221" w:rsidRPr="00382EFC" w14:paraId="63EC50E7" w14:textId="77777777" w:rsidTr="00D45F23">
        <w:tc>
          <w:tcPr>
            <w:tcW w:w="2127" w:type="dxa"/>
            <w:vMerge/>
            <w:vAlign w:val="center"/>
          </w:tcPr>
          <w:p w14:paraId="387E737D" w14:textId="3DCEE642" w:rsidR="00356221" w:rsidRPr="00382EFC" w:rsidRDefault="00356221" w:rsidP="00EE3FC8">
            <w:pPr>
              <w:pStyle w:val="ListParagraph"/>
              <w:spacing w:after="0"/>
              <w:ind w:left="29"/>
              <w:contextualSpacing w:val="0"/>
              <w:jc w:val="both"/>
              <w:rPr>
                <w:rFonts w:ascii="Arial" w:hAnsi="Arial" w:cs="Arial"/>
                <w:bCs/>
                <w:i/>
              </w:rPr>
            </w:pPr>
          </w:p>
        </w:tc>
        <w:tc>
          <w:tcPr>
            <w:tcW w:w="998" w:type="dxa"/>
          </w:tcPr>
          <w:p w14:paraId="66214D7C" w14:textId="1C45FC44" w:rsidR="00356221" w:rsidRPr="00382EFC" w:rsidRDefault="00356221" w:rsidP="00EE3FC8">
            <w:pPr>
              <w:spacing w:before="60" w:after="0"/>
              <w:jc w:val="center"/>
              <w:rPr>
                <w:rFonts w:ascii="Arial" w:hAnsi="Arial" w:cs="Arial"/>
                <w:bCs/>
                <w:i/>
              </w:rPr>
            </w:pPr>
            <w:r w:rsidRPr="00382EFC">
              <w:rPr>
                <w:rFonts w:ascii="Arial" w:hAnsi="Arial" w:cs="Arial"/>
                <w:bCs/>
                <w:i/>
              </w:rPr>
              <w:t>1.4</w:t>
            </w:r>
          </w:p>
        </w:tc>
        <w:tc>
          <w:tcPr>
            <w:tcW w:w="4672" w:type="dxa"/>
          </w:tcPr>
          <w:p w14:paraId="43EB701B" w14:textId="77777777" w:rsidR="00356221" w:rsidRPr="00BE2926" w:rsidRDefault="00356221" w:rsidP="00EE3FC8">
            <w:pPr>
              <w:spacing w:before="60" w:after="0"/>
              <w:ind w:right="312"/>
              <w:jc w:val="both"/>
              <w:rPr>
                <w:rFonts w:ascii="Arial" w:hAnsi="Arial" w:cs="Arial"/>
                <w:bCs/>
                <w:i/>
              </w:rPr>
            </w:pPr>
            <w:r w:rsidRPr="00BE2926">
              <w:rPr>
                <w:rFonts w:ascii="Arial" w:hAnsi="Arial" w:cs="Arial"/>
                <w:bCs/>
                <w:i/>
              </w:rPr>
              <w:t>Annual number of emigrants who are____</w:t>
            </w:r>
          </w:p>
          <w:p w14:paraId="3A388683" w14:textId="77777777"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persons</w:t>
            </w:r>
          </w:p>
          <w:p w14:paraId="258D2D1A" w14:textId="77777777"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 citizens</w:t>
            </w:r>
          </w:p>
          <w:p w14:paraId="34080C4C" w14:textId="77777777"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citizens</w:t>
            </w:r>
          </w:p>
          <w:p w14:paraId="33CC8EE2" w14:textId="77777777" w:rsidR="00356221" w:rsidRPr="00382EFC"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Native-born foreign citizens</w:t>
            </w:r>
          </w:p>
          <w:p w14:paraId="5E0E15A4" w14:textId="77777777" w:rsidR="00356221" w:rsidRDefault="00356221" w:rsidP="00EE3FC8">
            <w:pPr>
              <w:pStyle w:val="ListParagraph"/>
              <w:numPr>
                <w:ilvl w:val="0"/>
                <w:numId w:val="16"/>
              </w:numPr>
              <w:spacing w:after="0"/>
              <w:ind w:left="284" w:hanging="284"/>
              <w:contextualSpacing w:val="0"/>
              <w:jc w:val="both"/>
              <w:rPr>
                <w:rFonts w:ascii="Arial" w:hAnsi="Arial" w:cs="Arial"/>
                <w:bCs/>
                <w:i/>
              </w:rPr>
            </w:pPr>
            <w:r w:rsidRPr="00382EFC">
              <w:rPr>
                <w:rFonts w:ascii="Arial" w:hAnsi="Arial" w:cs="Arial"/>
                <w:bCs/>
                <w:i/>
              </w:rPr>
              <w:t>Foreign-born foreign citizens</w:t>
            </w:r>
          </w:p>
          <w:p w14:paraId="26A68E67" w14:textId="1218D773" w:rsidR="00356221" w:rsidRPr="00D45F23" w:rsidRDefault="00356221" w:rsidP="00EE3FC8">
            <w:pPr>
              <w:pStyle w:val="ListParagraph"/>
              <w:numPr>
                <w:ilvl w:val="0"/>
                <w:numId w:val="16"/>
              </w:numPr>
              <w:spacing w:after="60"/>
              <w:ind w:left="284" w:hanging="284"/>
              <w:contextualSpacing w:val="0"/>
              <w:jc w:val="both"/>
              <w:rPr>
                <w:rFonts w:ascii="Arial" w:hAnsi="Arial" w:cs="Arial"/>
                <w:bCs/>
                <w:i/>
              </w:rPr>
            </w:pPr>
            <w:r w:rsidRPr="00D45F23">
              <w:rPr>
                <w:rFonts w:ascii="Arial" w:hAnsi="Arial" w:cs="Arial"/>
                <w:bCs/>
                <w:i/>
              </w:rPr>
              <w:t>Native-born (native) citizens</w:t>
            </w:r>
          </w:p>
        </w:tc>
        <w:tc>
          <w:tcPr>
            <w:tcW w:w="2513" w:type="dxa"/>
            <w:vMerge/>
          </w:tcPr>
          <w:p w14:paraId="5EB1BEA9" w14:textId="77777777" w:rsidR="00356221" w:rsidRPr="00382EFC" w:rsidRDefault="00356221" w:rsidP="00D45F23">
            <w:pPr>
              <w:pStyle w:val="ListParagraph"/>
              <w:spacing w:after="0" w:line="360" w:lineRule="auto"/>
              <w:contextualSpacing w:val="0"/>
              <w:jc w:val="both"/>
              <w:rPr>
                <w:rFonts w:ascii="Arial" w:hAnsi="Arial" w:cs="Arial"/>
                <w:bCs/>
                <w:i/>
              </w:rPr>
            </w:pPr>
          </w:p>
        </w:tc>
      </w:tr>
    </w:tbl>
    <w:p w14:paraId="53B74EBA" w14:textId="601C8B28" w:rsidR="00DD38F9" w:rsidRDefault="00DD38F9"/>
    <w:p w14:paraId="4213575F" w14:textId="77777777" w:rsidR="00DD38F9" w:rsidRDefault="00DD38F9"/>
    <w:p w14:paraId="77D2DFD2" w14:textId="12BABBB7" w:rsidR="004C3547" w:rsidRPr="00EE3FC8" w:rsidRDefault="00393983" w:rsidP="00EE3FC8">
      <w:pPr>
        <w:pStyle w:val="ListParagraph"/>
        <w:numPr>
          <w:ilvl w:val="0"/>
          <w:numId w:val="22"/>
        </w:numPr>
        <w:spacing w:after="160" w:line="360" w:lineRule="auto"/>
        <w:ind w:left="567" w:hanging="567"/>
        <w:contextualSpacing w:val="0"/>
        <w:jc w:val="both"/>
        <w:rPr>
          <w:rFonts w:ascii="Arial" w:hAnsi="Arial" w:cs="Arial"/>
          <w:b/>
          <w:bCs/>
          <w:i/>
        </w:rPr>
      </w:pPr>
      <w:r w:rsidRPr="00382EFC">
        <w:rPr>
          <w:rFonts w:ascii="Arial" w:hAnsi="Arial" w:cs="Arial"/>
          <w:b/>
          <w:bCs/>
          <w:i/>
        </w:rPr>
        <w:lastRenderedPageBreak/>
        <w:t>COVERAGE AND LIMITATION</w:t>
      </w:r>
    </w:p>
    <w:p w14:paraId="5E547313" w14:textId="74CB3D1C" w:rsidR="00272FD9" w:rsidRPr="00EE3FC8" w:rsidRDefault="00393983" w:rsidP="00EE3FC8">
      <w:pPr>
        <w:pStyle w:val="ListParagraph"/>
        <w:numPr>
          <w:ilvl w:val="1"/>
          <w:numId w:val="21"/>
        </w:numPr>
        <w:spacing w:after="160" w:line="360" w:lineRule="auto"/>
        <w:ind w:left="1134" w:hanging="567"/>
        <w:contextualSpacing w:val="0"/>
        <w:jc w:val="both"/>
        <w:rPr>
          <w:rFonts w:ascii="Arial" w:hAnsi="Arial" w:cs="Arial"/>
          <w:b/>
          <w:bCs/>
          <w:i/>
        </w:rPr>
      </w:pPr>
      <w:r w:rsidRPr="00382EFC">
        <w:rPr>
          <w:rFonts w:ascii="Arial" w:hAnsi="Arial" w:cs="Arial"/>
          <w:b/>
          <w:i/>
        </w:rPr>
        <w:t>Coverage</w:t>
      </w:r>
    </w:p>
    <w:p w14:paraId="26B87E8B" w14:textId="2D55DE72" w:rsidR="00393983" w:rsidRPr="00382EFC" w:rsidRDefault="00393983" w:rsidP="00790677">
      <w:pPr>
        <w:pStyle w:val="ListParagraph"/>
        <w:numPr>
          <w:ilvl w:val="2"/>
          <w:numId w:val="21"/>
        </w:numPr>
        <w:tabs>
          <w:tab w:val="left" w:pos="1843"/>
        </w:tabs>
        <w:spacing w:after="160" w:line="360" w:lineRule="auto"/>
        <w:ind w:left="1134" w:firstLine="0"/>
        <w:contextualSpacing w:val="0"/>
        <w:jc w:val="both"/>
        <w:rPr>
          <w:rFonts w:ascii="Arial" w:eastAsia="Times New Roman" w:hAnsi="Arial" w:cs="Arial"/>
          <w:i/>
          <w:lang w:val="en-AU" w:eastAsia="en-AU"/>
        </w:rPr>
      </w:pPr>
      <w:r w:rsidRPr="00382EFC">
        <w:rPr>
          <w:rFonts w:ascii="Arial" w:eastAsia="Times New Roman" w:hAnsi="Arial" w:cs="Arial"/>
          <w:i/>
          <w:lang w:val="en-AU" w:eastAsia="en-AU"/>
        </w:rPr>
        <w:t>The statistics presented include:</w:t>
      </w:r>
    </w:p>
    <w:p w14:paraId="03FB84B9" w14:textId="02E3AC3F" w:rsidR="00272FD9" w:rsidRDefault="00393983" w:rsidP="00272FD9">
      <w:pPr>
        <w:pStyle w:val="ListParagraph"/>
        <w:numPr>
          <w:ilvl w:val="0"/>
          <w:numId w:val="23"/>
        </w:numPr>
        <w:spacing w:after="0" w:line="360" w:lineRule="auto"/>
        <w:ind w:left="2268" w:hanging="283"/>
        <w:jc w:val="both"/>
        <w:rPr>
          <w:rFonts w:ascii="Arial" w:eastAsia="Times New Roman" w:hAnsi="Arial" w:cs="Arial"/>
          <w:i/>
          <w:lang w:val="en-AU" w:eastAsia="en-AU"/>
        </w:rPr>
      </w:pPr>
      <w:r w:rsidRPr="00272FD9">
        <w:rPr>
          <w:rFonts w:ascii="Arial" w:eastAsia="Times New Roman" w:hAnsi="Arial" w:cs="Arial"/>
          <w:bCs/>
          <w:i/>
          <w:lang w:val="en-AU" w:eastAsia="en-AU"/>
        </w:rPr>
        <w:t xml:space="preserve">Current estimates of </w:t>
      </w:r>
      <w:r w:rsidR="007524A8" w:rsidRPr="00272FD9">
        <w:rPr>
          <w:rFonts w:ascii="Arial" w:eastAsia="Times New Roman" w:hAnsi="Arial" w:cs="Arial"/>
          <w:bCs/>
          <w:i/>
          <w:lang w:val="en-AU" w:eastAsia="en-AU"/>
        </w:rPr>
        <w:t>Non-citizens</w:t>
      </w:r>
      <w:r w:rsidRPr="00272FD9">
        <w:rPr>
          <w:rFonts w:ascii="Arial" w:eastAsia="Times New Roman" w:hAnsi="Arial" w:cs="Arial"/>
          <w:i/>
          <w:lang w:val="en-AU" w:eastAsia="en-AU"/>
        </w:rPr>
        <w:t xml:space="preserve"> covering mid-year population estimates at the state and administrative district levels for 2025 along with selected demographic indicators such as live births, deaths and life expectancy;</w:t>
      </w:r>
    </w:p>
    <w:p w14:paraId="6D5A1857" w14:textId="77777777" w:rsidR="00272FD9" w:rsidRDefault="00272FD9" w:rsidP="00272FD9">
      <w:pPr>
        <w:pStyle w:val="ListParagraph"/>
        <w:spacing w:after="0" w:line="360" w:lineRule="auto"/>
        <w:ind w:left="2268"/>
        <w:jc w:val="both"/>
        <w:rPr>
          <w:rFonts w:ascii="Arial" w:eastAsia="Times New Roman" w:hAnsi="Arial" w:cs="Arial"/>
          <w:i/>
          <w:lang w:val="en-AU" w:eastAsia="en-AU"/>
        </w:rPr>
      </w:pPr>
    </w:p>
    <w:p w14:paraId="19E8E410" w14:textId="7353A89A" w:rsidR="00272FD9" w:rsidRDefault="00393983" w:rsidP="00272FD9">
      <w:pPr>
        <w:pStyle w:val="ListParagraph"/>
        <w:numPr>
          <w:ilvl w:val="0"/>
          <w:numId w:val="23"/>
        </w:numPr>
        <w:spacing w:after="0" w:line="360" w:lineRule="auto"/>
        <w:ind w:left="2268" w:hanging="283"/>
        <w:jc w:val="both"/>
        <w:rPr>
          <w:rFonts w:ascii="Arial" w:eastAsia="Times New Roman" w:hAnsi="Arial" w:cs="Arial"/>
          <w:i/>
          <w:lang w:val="en-AU" w:eastAsia="en-AU"/>
        </w:rPr>
      </w:pPr>
      <w:r w:rsidRPr="00272FD9">
        <w:rPr>
          <w:rFonts w:ascii="Arial" w:eastAsia="Times New Roman" w:hAnsi="Arial" w:cs="Arial"/>
          <w:bCs/>
          <w:i/>
          <w:lang w:val="en-AU" w:eastAsia="en-AU"/>
        </w:rPr>
        <w:t xml:space="preserve">Satellite statistics related to </w:t>
      </w:r>
      <w:r w:rsidR="007524A8" w:rsidRPr="00272FD9">
        <w:rPr>
          <w:rFonts w:ascii="Arial" w:eastAsia="Times New Roman" w:hAnsi="Arial" w:cs="Arial"/>
          <w:bCs/>
          <w:i/>
          <w:lang w:val="en-AU" w:eastAsia="en-AU"/>
        </w:rPr>
        <w:t>Non-citizens</w:t>
      </w:r>
      <w:r w:rsidRPr="00272FD9">
        <w:rPr>
          <w:rFonts w:ascii="Arial" w:eastAsia="Times New Roman" w:hAnsi="Arial" w:cs="Arial"/>
          <w:bCs/>
          <w:i/>
          <w:lang w:val="en-AU" w:eastAsia="en-AU"/>
        </w:rPr>
        <w:t xml:space="preserve"> in Malaysia</w:t>
      </w:r>
      <w:r w:rsidR="00254399" w:rsidRPr="00272FD9">
        <w:rPr>
          <w:rFonts w:ascii="Arial" w:eastAsia="Times New Roman" w:hAnsi="Arial" w:cs="Arial"/>
          <w:i/>
          <w:lang w:val="en-AU" w:eastAsia="en-AU"/>
        </w:rPr>
        <w:t xml:space="preserve"> </w:t>
      </w:r>
      <w:r w:rsidRPr="00272FD9">
        <w:rPr>
          <w:rFonts w:ascii="Arial" w:eastAsia="Times New Roman" w:hAnsi="Arial" w:cs="Arial"/>
          <w:i/>
          <w:lang w:val="en-AU" w:eastAsia="en-AU"/>
        </w:rPr>
        <w:t>covering areas such as employment, education, crime, refugees and asylum seeker</w:t>
      </w:r>
      <w:r w:rsidR="00790677">
        <w:rPr>
          <w:rFonts w:ascii="Arial" w:eastAsia="Times New Roman" w:hAnsi="Arial" w:cs="Arial"/>
          <w:i/>
          <w:lang w:val="en-AU" w:eastAsia="en-AU"/>
        </w:rPr>
        <w:t>s</w:t>
      </w:r>
      <w:r w:rsidRPr="00272FD9">
        <w:rPr>
          <w:rFonts w:ascii="Arial" w:eastAsia="Times New Roman" w:hAnsi="Arial" w:cs="Arial"/>
          <w:i/>
          <w:lang w:val="en-AU" w:eastAsia="en-AU"/>
        </w:rPr>
        <w:t>;</w:t>
      </w:r>
      <w:r w:rsidR="00254399" w:rsidRPr="00272FD9">
        <w:rPr>
          <w:rFonts w:ascii="Arial" w:eastAsia="Times New Roman" w:hAnsi="Arial" w:cs="Arial"/>
          <w:i/>
          <w:lang w:val="en-AU" w:eastAsia="en-AU"/>
        </w:rPr>
        <w:t xml:space="preserve"> </w:t>
      </w:r>
      <w:r w:rsidRPr="00272FD9">
        <w:rPr>
          <w:rFonts w:ascii="Arial" w:eastAsia="Times New Roman" w:hAnsi="Arial" w:cs="Arial"/>
          <w:i/>
          <w:lang w:val="en-AU" w:eastAsia="en-AU"/>
        </w:rPr>
        <w:t>and</w:t>
      </w:r>
    </w:p>
    <w:p w14:paraId="1649CC85" w14:textId="77777777" w:rsidR="00272FD9" w:rsidRPr="00272FD9" w:rsidRDefault="00272FD9" w:rsidP="00272FD9">
      <w:pPr>
        <w:spacing w:after="0" w:line="360" w:lineRule="auto"/>
        <w:jc w:val="both"/>
        <w:rPr>
          <w:rFonts w:ascii="Arial" w:eastAsia="Times New Roman" w:hAnsi="Arial" w:cs="Arial"/>
          <w:i/>
          <w:lang w:val="en-AU" w:eastAsia="en-AU"/>
        </w:rPr>
      </w:pPr>
    </w:p>
    <w:p w14:paraId="481F1E8C" w14:textId="2B597D78" w:rsidR="00156B8D" w:rsidRPr="00272FD9" w:rsidRDefault="00393983" w:rsidP="00272FD9">
      <w:pPr>
        <w:pStyle w:val="ListParagraph"/>
        <w:numPr>
          <w:ilvl w:val="0"/>
          <w:numId w:val="23"/>
        </w:numPr>
        <w:spacing w:after="0" w:line="360" w:lineRule="auto"/>
        <w:ind w:left="2268" w:hanging="283"/>
        <w:jc w:val="both"/>
        <w:rPr>
          <w:rFonts w:ascii="Arial" w:eastAsia="Times New Roman" w:hAnsi="Arial" w:cs="Arial"/>
          <w:i/>
          <w:lang w:val="en-AU" w:eastAsia="en-AU"/>
        </w:rPr>
      </w:pPr>
      <w:r w:rsidRPr="00272FD9">
        <w:rPr>
          <w:rFonts w:ascii="Arial" w:eastAsia="Times New Roman" w:hAnsi="Arial" w:cs="Arial"/>
          <w:bCs/>
          <w:i/>
          <w:lang w:val="en-AU" w:eastAsia="en-AU"/>
        </w:rPr>
        <w:t xml:space="preserve">Satellite statistics of </w:t>
      </w:r>
      <w:r w:rsidR="00BF1D2B">
        <w:rPr>
          <w:rFonts w:ascii="Arial" w:eastAsia="Times New Roman" w:hAnsi="Arial" w:cs="Arial"/>
          <w:bCs/>
          <w:i/>
          <w:lang w:val="en-AU" w:eastAsia="en-AU"/>
        </w:rPr>
        <w:t xml:space="preserve">Malaysian </w:t>
      </w:r>
      <w:r w:rsidR="00790677">
        <w:rPr>
          <w:rFonts w:ascii="Arial" w:eastAsia="Times New Roman" w:hAnsi="Arial" w:cs="Arial"/>
          <w:bCs/>
          <w:i/>
          <w:lang w:val="en-AU" w:eastAsia="en-AU"/>
        </w:rPr>
        <w:t>C</w:t>
      </w:r>
      <w:r w:rsidRPr="00272FD9">
        <w:rPr>
          <w:rFonts w:ascii="Arial" w:eastAsia="Times New Roman" w:hAnsi="Arial" w:cs="Arial"/>
          <w:bCs/>
          <w:i/>
          <w:lang w:val="en-AU" w:eastAsia="en-AU"/>
        </w:rPr>
        <w:t>itizens abroad</w:t>
      </w:r>
      <w:r w:rsidRPr="00272FD9">
        <w:rPr>
          <w:rFonts w:ascii="Arial" w:eastAsia="Times New Roman" w:hAnsi="Arial" w:cs="Arial"/>
          <w:i/>
          <w:lang w:val="en-AU" w:eastAsia="en-AU"/>
        </w:rPr>
        <w:t xml:space="preserve"> including Malaysian students overseas, Malaysian </w:t>
      </w:r>
      <w:r w:rsidR="00254399" w:rsidRPr="00272FD9">
        <w:rPr>
          <w:rFonts w:ascii="Arial" w:eastAsia="Times New Roman" w:hAnsi="Arial" w:cs="Arial"/>
          <w:i/>
          <w:lang w:val="en-AU" w:eastAsia="en-AU"/>
        </w:rPr>
        <w:t>C</w:t>
      </w:r>
      <w:r w:rsidRPr="00272FD9">
        <w:rPr>
          <w:rFonts w:ascii="Arial" w:eastAsia="Times New Roman" w:hAnsi="Arial" w:cs="Arial"/>
          <w:i/>
          <w:lang w:val="en-AU" w:eastAsia="en-AU"/>
        </w:rPr>
        <w:t>itizens who are refugees or asylum seekers abroad and diaspora studies of Malaysians in Singapore and Brunei.</w:t>
      </w:r>
    </w:p>
    <w:p w14:paraId="031F674E" w14:textId="77777777" w:rsidR="00254399" w:rsidRPr="00382EFC" w:rsidRDefault="00254399" w:rsidP="00382EFC">
      <w:pPr>
        <w:spacing w:after="0" w:line="360" w:lineRule="auto"/>
        <w:ind w:left="360"/>
        <w:jc w:val="both"/>
        <w:rPr>
          <w:rFonts w:ascii="Arial" w:eastAsia="Times New Roman" w:hAnsi="Arial" w:cs="Arial"/>
          <w:i/>
          <w:lang w:val="en-AU" w:eastAsia="en-AU"/>
        </w:rPr>
      </w:pPr>
    </w:p>
    <w:p w14:paraId="6CE3CC14" w14:textId="232F1DEA" w:rsidR="00156B8D" w:rsidRPr="00382EFC" w:rsidRDefault="00254399" w:rsidP="00272FD9">
      <w:pPr>
        <w:pStyle w:val="ListParagraph"/>
        <w:numPr>
          <w:ilvl w:val="2"/>
          <w:numId w:val="21"/>
        </w:numPr>
        <w:tabs>
          <w:tab w:val="left" w:pos="1843"/>
        </w:tabs>
        <w:spacing w:after="0" w:line="360" w:lineRule="auto"/>
        <w:ind w:left="1843" w:hanging="709"/>
        <w:jc w:val="both"/>
        <w:rPr>
          <w:rFonts w:ascii="Arial" w:hAnsi="Arial" w:cs="Arial"/>
          <w:b/>
        </w:rPr>
      </w:pPr>
      <w:r w:rsidRPr="00382EFC">
        <w:rPr>
          <w:rFonts w:ascii="Arial" w:hAnsi="Arial" w:cs="Arial"/>
          <w:i/>
        </w:rPr>
        <w:t xml:space="preserve">The satellite statistics presented in this publication are derived from the stock of </w:t>
      </w:r>
      <w:r w:rsidR="00D45F23">
        <w:rPr>
          <w:rFonts w:ascii="Arial" w:hAnsi="Arial" w:cs="Arial"/>
          <w:i/>
        </w:rPr>
        <w:br/>
      </w:r>
      <w:r w:rsidR="007524A8" w:rsidRPr="00382EFC">
        <w:rPr>
          <w:rFonts w:ascii="Arial" w:hAnsi="Arial" w:cs="Arial"/>
          <w:i/>
        </w:rPr>
        <w:t>Non-citizens</w:t>
      </w:r>
      <w:r w:rsidRPr="00382EFC">
        <w:rPr>
          <w:rFonts w:ascii="Arial" w:hAnsi="Arial" w:cs="Arial"/>
          <w:i/>
        </w:rPr>
        <w:t xml:space="preserve"> in Malaysia and Malaysian </w:t>
      </w:r>
      <w:r w:rsidR="00790677">
        <w:rPr>
          <w:rFonts w:ascii="Arial" w:hAnsi="Arial" w:cs="Arial"/>
          <w:i/>
        </w:rPr>
        <w:t>C</w:t>
      </w:r>
      <w:r w:rsidRPr="00382EFC">
        <w:rPr>
          <w:rFonts w:ascii="Arial" w:hAnsi="Arial" w:cs="Arial"/>
          <w:i/>
        </w:rPr>
        <w:t>itizens abroad as reported in other DOSM publications as well as by the relevant agencies</w:t>
      </w:r>
      <w:r w:rsidRPr="00382EFC">
        <w:rPr>
          <w:rFonts w:ascii="Arial" w:hAnsi="Arial" w:cs="Arial"/>
        </w:rPr>
        <w:t>.</w:t>
      </w:r>
    </w:p>
    <w:p w14:paraId="7F48D7DE" w14:textId="288E63AD" w:rsidR="00272FD9" w:rsidRDefault="00272FD9" w:rsidP="00382EFC">
      <w:pPr>
        <w:spacing w:after="0" w:line="360" w:lineRule="auto"/>
        <w:jc w:val="both"/>
        <w:rPr>
          <w:rFonts w:ascii="Arial" w:hAnsi="Arial" w:cs="Arial"/>
          <w:b/>
          <w:lang w:val="en-US"/>
        </w:rPr>
      </w:pPr>
    </w:p>
    <w:p w14:paraId="75B363EF" w14:textId="5AFEEBAC" w:rsidR="005B1FC3" w:rsidRPr="00EE3FC8" w:rsidRDefault="00F56D15" w:rsidP="00EE3FC8">
      <w:pPr>
        <w:pStyle w:val="ListParagraph"/>
        <w:numPr>
          <w:ilvl w:val="1"/>
          <w:numId w:val="21"/>
        </w:numPr>
        <w:spacing w:after="160" w:line="360" w:lineRule="auto"/>
        <w:ind w:left="1134" w:hanging="567"/>
        <w:contextualSpacing w:val="0"/>
        <w:jc w:val="both"/>
        <w:rPr>
          <w:rFonts w:ascii="Arial" w:hAnsi="Arial" w:cs="Arial"/>
          <w:b/>
          <w:i/>
          <w:lang w:val="en-AU"/>
        </w:rPr>
      </w:pPr>
      <w:r w:rsidRPr="00382EFC">
        <w:rPr>
          <w:rFonts w:ascii="Arial" w:hAnsi="Arial" w:cs="Arial"/>
          <w:b/>
          <w:i/>
          <w:lang w:val="en-AU"/>
        </w:rPr>
        <w:t>Limitation</w:t>
      </w:r>
    </w:p>
    <w:p w14:paraId="233327F5" w14:textId="613EEC47" w:rsidR="00156B8D" w:rsidRPr="00382EFC" w:rsidRDefault="00F56D15" w:rsidP="00272FD9">
      <w:pPr>
        <w:pStyle w:val="ListParagraph"/>
        <w:numPr>
          <w:ilvl w:val="2"/>
          <w:numId w:val="21"/>
        </w:numPr>
        <w:tabs>
          <w:tab w:val="left" w:pos="1843"/>
        </w:tabs>
        <w:spacing w:after="0" w:line="360" w:lineRule="auto"/>
        <w:ind w:left="1843" w:hanging="709"/>
        <w:jc w:val="both"/>
        <w:rPr>
          <w:rFonts w:ascii="Arial" w:hAnsi="Arial" w:cs="Arial"/>
          <w:i/>
          <w:lang w:val="en-AU"/>
        </w:rPr>
      </w:pPr>
      <w:r w:rsidRPr="00382EFC">
        <w:rPr>
          <w:rFonts w:ascii="Arial" w:hAnsi="Arial" w:cs="Arial"/>
          <w:i/>
          <w:lang w:val="en-AU"/>
        </w:rPr>
        <w:t xml:space="preserve">Comprehensive and complete international migration statistics need to cover both stock and flow elements, as recommended by the UN. As an initial step, DOSM provides statistics on the stock of </w:t>
      </w:r>
      <w:r w:rsidR="007524A8" w:rsidRPr="00382EFC">
        <w:rPr>
          <w:rFonts w:ascii="Arial" w:hAnsi="Arial" w:cs="Arial"/>
          <w:i/>
          <w:lang w:val="en-AU"/>
        </w:rPr>
        <w:t>Non-citizens</w:t>
      </w:r>
      <w:r w:rsidRPr="00382EFC">
        <w:rPr>
          <w:rFonts w:ascii="Arial" w:hAnsi="Arial" w:cs="Arial"/>
          <w:i/>
          <w:lang w:val="en-AU"/>
        </w:rPr>
        <w:t xml:space="preserve"> through current estimates of </w:t>
      </w:r>
      <w:r w:rsidR="007524A8" w:rsidRPr="00382EFC">
        <w:rPr>
          <w:rFonts w:ascii="Arial" w:hAnsi="Arial" w:cs="Arial"/>
          <w:i/>
          <w:lang w:val="en-AU"/>
        </w:rPr>
        <w:t>Non-citizens</w:t>
      </w:r>
      <w:r w:rsidRPr="00382EFC">
        <w:rPr>
          <w:rFonts w:ascii="Arial" w:hAnsi="Arial" w:cs="Arial"/>
          <w:i/>
          <w:lang w:val="en-AU"/>
        </w:rPr>
        <w:t xml:space="preserve">. In addition, DOSM is expanding the scope of stock statistics for Malaysian </w:t>
      </w:r>
      <w:r w:rsidR="00790677">
        <w:rPr>
          <w:rFonts w:ascii="Arial" w:hAnsi="Arial" w:cs="Arial"/>
          <w:i/>
          <w:lang w:val="en-AU"/>
        </w:rPr>
        <w:t>C</w:t>
      </w:r>
      <w:r w:rsidRPr="00382EFC">
        <w:rPr>
          <w:rFonts w:ascii="Arial" w:hAnsi="Arial" w:cs="Arial"/>
          <w:i/>
          <w:lang w:val="en-AU"/>
        </w:rPr>
        <w:t>itizens abroad by actively collaborating with relevant agencies to obtain more comprehensive and reliable data access.</w:t>
      </w:r>
    </w:p>
    <w:p w14:paraId="3C99F000" w14:textId="77777777" w:rsidR="005B1FC3" w:rsidRPr="00382EFC" w:rsidRDefault="005B1FC3" w:rsidP="00382EFC">
      <w:pPr>
        <w:spacing w:after="0" w:line="360" w:lineRule="auto"/>
        <w:jc w:val="both"/>
        <w:rPr>
          <w:rFonts w:ascii="Arial" w:hAnsi="Arial" w:cs="Arial"/>
          <w:i/>
          <w:lang w:val="en-AU"/>
        </w:rPr>
      </w:pPr>
    </w:p>
    <w:p w14:paraId="7EB340B1" w14:textId="35077443" w:rsidR="005B1FC3" w:rsidRPr="00382EFC" w:rsidRDefault="005B1FC3" w:rsidP="00272FD9">
      <w:pPr>
        <w:pStyle w:val="ListParagraph"/>
        <w:numPr>
          <w:ilvl w:val="2"/>
          <w:numId w:val="21"/>
        </w:numPr>
        <w:tabs>
          <w:tab w:val="left" w:pos="1843"/>
        </w:tabs>
        <w:spacing w:after="0" w:line="360" w:lineRule="auto"/>
        <w:ind w:left="1843" w:hanging="709"/>
        <w:jc w:val="both"/>
        <w:rPr>
          <w:rFonts w:ascii="Arial" w:hAnsi="Arial" w:cs="Arial"/>
          <w:i/>
          <w:lang w:val="en-AU"/>
        </w:rPr>
      </w:pPr>
      <w:r w:rsidRPr="00382EFC">
        <w:rPr>
          <w:rFonts w:ascii="Arial" w:hAnsi="Arial" w:cs="Arial"/>
          <w:i/>
          <w:lang w:val="en-AU"/>
        </w:rPr>
        <w:t>The flow component of migration statistics is not yet available, as it requires access to data from multiple agencies. In this regard, DOSM is actively enhancing strategic collaborations to facilitate the production of more comprehensive migration flow statistics in the future.</w:t>
      </w:r>
    </w:p>
    <w:p w14:paraId="4B15747D" w14:textId="77777777" w:rsidR="005B1FC3" w:rsidRPr="00382EFC" w:rsidRDefault="005B1FC3" w:rsidP="00382EFC">
      <w:pPr>
        <w:spacing w:after="0" w:line="360" w:lineRule="auto"/>
        <w:jc w:val="both"/>
        <w:rPr>
          <w:rFonts w:ascii="Arial" w:hAnsi="Arial" w:cs="Arial"/>
          <w:i/>
          <w:lang w:val="en-AU"/>
        </w:rPr>
      </w:pPr>
    </w:p>
    <w:p w14:paraId="33608531" w14:textId="739193EC" w:rsidR="00645D40" w:rsidRPr="00382EFC" w:rsidRDefault="00BF74BD" w:rsidP="00272FD9">
      <w:pPr>
        <w:pStyle w:val="ListParagraph"/>
        <w:numPr>
          <w:ilvl w:val="2"/>
          <w:numId w:val="21"/>
        </w:numPr>
        <w:tabs>
          <w:tab w:val="left" w:pos="1843"/>
        </w:tabs>
        <w:spacing w:after="0" w:line="360" w:lineRule="auto"/>
        <w:ind w:left="1843" w:hanging="709"/>
        <w:jc w:val="both"/>
        <w:rPr>
          <w:rFonts w:ascii="Arial" w:hAnsi="Arial" w:cs="Arial"/>
          <w:i/>
        </w:rPr>
      </w:pPr>
      <w:r w:rsidRPr="00272FD9">
        <w:rPr>
          <w:rFonts w:ascii="Arial" w:hAnsi="Arial" w:cs="Arial"/>
          <w:i/>
          <w:lang w:val="en-AU"/>
        </w:rPr>
        <w:t>Users</w:t>
      </w:r>
      <w:r w:rsidRPr="00382EFC">
        <w:rPr>
          <w:rFonts w:ascii="Arial" w:hAnsi="Arial" w:cs="Arial"/>
          <w:i/>
        </w:rPr>
        <w:t xml:space="preserve"> are advised to be careful in interpreting the data.</w:t>
      </w:r>
    </w:p>
    <w:p w14:paraId="18E28484" w14:textId="1DBC3666" w:rsidR="002174B7" w:rsidRDefault="002174B7" w:rsidP="00382EFC">
      <w:pPr>
        <w:pStyle w:val="ListParagraph"/>
        <w:spacing w:after="0" w:line="360" w:lineRule="auto"/>
        <w:ind w:left="0"/>
        <w:contextualSpacing w:val="0"/>
        <w:jc w:val="both"/>
        <w:rPr>
          <w:rFonts w:ascii="Arial" w:hAnsi="Arial" w:cs="Arial"/>
          <w:b/>
          <w:i/>
        </w:rPr>
      </w:pPr>
    </w:p>
    <w:p w14:paraId="587FB341" w14:textId="360CBA67" w:rsidR="00EE3FC8" w:rsidRDefault="00EE3FC8" w:rsidP="00382EFC">
      <w:pPr>
        <w:pStyle w:val="ListParagraph"/>
        <w:spacing w:after="0" w:line="360" w:lineRule="auto"/>
        <w:ind w:left="0"/>
        <w:contextualSpacing w:val="0"/>
        <w:jc w:val="both"/>
        <w:rPr>
          <w:rFonts w:ascii="Arial" w:hAnsi="Arial" w:cs="Arial"/>
          <w:b/>
          <w:i/>
        </w:rPr>
      </w:pPr>
    </w:p>
    <w:p w14:paraId="2157C993" w14:textId="5C1DCB33" w:rsidR="00EE3FC8" w:rsidRDefault="00EE3FC8" w:rsidP="00382EFC">
      <w:pPr>
        <w:pStyle w:val="ListParagraph"/>
        <w:spacing w:after="0" w:line="360" w:lineRule="auto"/>
        <w:ind w:left="0"/>
        <w:contextualSpacing w:val="0"/>
        <w:jc w:val="both"/>
        <w:rPr>
          <w:rFonts w:ascii="Arial" w:hAnsi="Arial" w:cs="Arial"/>
          <w:b/>
          <w:i/>
        </w:rPr>
      </w:pPr>
    </w:p>
    <w:p w14:paraId="7E095B42" w14:textId="77777777" w:rsidR="00D937AF" w:rsidRDefault="00D937AF" w:rsidP="00382EFC">
      <w:pPr>
        <w:pStyle w:val="ListParagraph"/>
        <w:spacing w:after="0" w:line="360" w:lineRule="auto"/>
        <w:ind w:left="0"/>
        <w:contextualSpacing w:val="0"/>
        <w:jc w:val="both"/>
        <w:rPr>
          <w:rFonts w:ascii="Arial" w:hAnsi="Arial" w:cs="Arial"/>
          <w:b/>
          <w:i/>
        </w:rPr>
      </w:pPr>
    </w:p>
    <w:p w14:paraId="71BA7649" w14:textId="77777777" w:rsidR="00D45F23" w:rsidRPr="00382EFC" w:rsidRDefault="00D45F23" w:rsidP="00382EFC">
      <w:pPr>
        <w:pStyle w:val="ListParagraph"/>
        <w:spacing w:after="0" w:line="360" w:lineRule="auto"/>
        <w:ind w:left="0"/>
        <w:contextualSpacing w:val="0"/>
        <w:jc w:val="both"/>
        <w:rPr>
          <w:rFonts w:ascii="Arial" w:hAnsi="Arial" w:cs="Arial"/>
          <w:b/>
          <w:i/>
        </w:rPr>
      </w:pPr>
    </w:p>
    <w:p w14:paraId="53994D76" w14:textId="7C615303" w:rsidR="00055352" w:rsidRPr="00EE3FC8" w:rsidRDefault="00BF74BD" w:rsidP="00EE3FC8">
      <w:pPr>
        <w:pStyle w:val="ListParagraph"/>
        <w:numPr>
          <w:ilvl w:val="0"/>
          <w:numId w:val="22"/>
        </w:numPr>
        <w:spacing w:after="160" w:line="360" w:lineRule="auto"/>
        <w:ind w:left="567" w:hanging="567"/>
        <w:contextualSpacing w:val="0"/>
        <w:jc w:val="both"/>
        <w:rPr>
          <w:rFonts w:ascii="Arial" w:hAnsi="Arial" w:cs="Arial"/>
          <w:b/>
          <w:bCs/>
          <w:i/>
        </w:rPr>
      </w:pPr>
      <w:r w:rsidRPr="00382EFC">
        <w:rPr>
          <w:rFonts w:ascii="Arial" w:hAnsi="Arial" w:cs="Arial"/>
          <w:b/>
          <w:bCs/>
          <w:i/>
        </w:rPr>
        <w:lastRenderedPageBreak/>
        <w:t xml:space="preserve">CURRENT ESTIMATES OF </w:t>
      </w:r>
      <w:r w:rsidR="007524A8" w:rsidRPr="00382EFC">
        <w:rPr>
          <w:rFonts w:ascii="Arial" w:hAnsi="Arial" w:cs="Arial"/>
          <w:b/>
          <w:bCs/>
          <w:i/>
        </w:rPr>
        <w:t>NON-CITIZENS</w:t>
      </w:r>
    </w:p>
    <w:p w14:paraId="4C5C5E38" w14:textId="0E976A7B" w:rsidR="00272FD9" w:rsidRDefault="00A71119" w:rsidP="00272FD9">
      <w:pPr>
        <w:pStyle w:val="ListParagraph"/>
        <w:numPr>
          <w:ilvl w:val="1"/>
          <w:numId w:val="22"/>
        </w:numPr>
        <w:spacing w:after="0" w:line="360" w:lineRule="auto"/>
        <w:ind w:left="1134" w:hanging="567"/>
        <w:jc w:val="both"/>
        <w:rPr>
          <w:rFonts w:ascii="Arial" w:hAnsi="Arial" w:cs="Arial"/>
          <w:bCs/>
          <w:i/>
        </w:rPr>
      </w:pPr>
      <w:r w:rsidRPr="00272FD9">
        <w:rPr>
          <w:rFonts w:ascii="Arial" w:hAnsi="Arial" w:cs="Arial"/>
          <w:bCs/>
          <w:i/>
        </w:rPr>
        <w:t xml:space="preserve">The annual current estimates of </w:t>
      </w:r>
      <w:r w:rsidR="007524A8" w:rsidRPr="00272FD9">
        <w:rPr>
          <w:rFonts w:ascii="Arial" w:hAnsi="Arial" w:cs="Arial"/>
          <w:bCs/>
          <w:i/>
        </w:rPr>
        <w:t>Non-citizens</w:t>
      </w:r>
      <w:r w:rsidRPr="00272FD9">
        <w:rPr>
          <w:rFonts w:ascii="Arial" w:hAnsi="Arial" w:cs="Arial"/>
          <w:bCs/>
          <w:i/>
        </w:rPr>
        <w:t xml:space="preserve"> are based on the Population and Housing Census Malaysia, 2020 (Census 2020). The mid-year 2025 estimates for </w:t>
      </w:r>
      <w:r w:rsidR="007524A8" w:rsidRPr="00272FD9">
        <w:rPr>
          <w:rFonts w:ascii="Arial" w:hAnsi="Arial" w:cs="Arial"/>
          <w:bCs/>
          <w:i/>
        </w:rPr>
        <w:t>Non-citizens</w:t>
      </w:r>
      <w:r w:rsidRPr="00272FD9">
        <w:rPr>
          <w:rFonts w:ascii="Arial" w:hAnsi="Arial" w:cs="Arial"/>
          <w:bCs/>
          <w:i/>
        </w:rPr>
        <w:t xml:space="preserve"> are preliminary and will be finalized upon receiving the latest components data.</w:t>
      </w:r>
    </w:p>
    <w:p w14:paraId="61DCA5E2" w14:textId="77777777" w:rsidR="00272FD9" w:rsidRDefault="00272FD9" w:rsidP="00272FD9">
      <w:pPr>
        <w:pStyle w:val="ListParagraph"/>
        <w:spacing w:after="0" w:line="360" w:lineRule="auto"/>
        <w:ind w:left="1134"/>
        <w:jc w:val="both"/>
        <w:rPr>
          <w:rFonts w:ascii="Arial" w:hAnsi="Arial" w:cs="Arial"/>
          <w:bCs/>
          <w:i/>
        </w:rPr>
      </w:pPr>
    </w:p>
    <w:p w14:paraId="38B6C927" w14:textId="1097BF01" w:rsidR="00272FD9" w:rsidRDefault="00CD6A45" w:rsidP="00272FD9">
      <w:pPr>
        <w:pStyle w:val="ListParagraph"/>
        <w:numPr>
          <w:ilvl w:val="1"/>
          <w:numId w:val="22"/>
        </w:numPr>
        <w:spacing w:after="0" w:line="360" w:lineRule="auto"/>
        <w:ind w:left="1134" w:hanging="567"/>
        <w:jc w:val="both"/>
        <w:rPr>
          <w:rFonts w:ascii="Arial" w:hAnsi="Arial" w:cs="Arial"/>
          <w:bCs/>
          <w:i/>
        </w:rPr>
      </w:pPr>
      <w:r w:rsidRPr="00272FD9">
        <w:rPr>
          <w:rFonts w:ascii="Arial" w:hAnsi="Arial" w:cs="Arial"/>
          <w:bCs/>
          <w:i/>
        </w:rPr>
        <w:t xml:space="preserve">The current estimates are prepared based on active pass statistics received from key data-providing agencies on </w:t>
      </w:r>
      <w:r w:rsidR="007524A8" w:rsidRPr="00272FD9">
        <w:rPr>
          <w:rFonts w:ascii="Arial" w:hAnsi="Arial" w:cs="Arial"/>
          <w:bCs/>
          <w:i/>
        </w:rPr>
        <w:t>Non-citizens</w:t>
      </w:r>
      <w:r w:rsidRPr="00272FD9">
        <w:rPr>
          <w:rFonts w:ascii="Arial" w:hAnsi="Arial" w:cs="Arial"/>
          <w:bCs/>
          <w:i/>
        </w:rPr>
        <w:t xml:space="preserve"> </w:t>
      </w:r>
      <w:r w:rsidR="00354686" w:rsidRPr="00272FD9">
        <w:rPr>
          <w:rFonts w:ascii="Arial" w:hAnsi="Arial" w:cs="Arial"/>
          <w:bCs/>
          <w:i/>
        </w:rPr>
        <w:t>such as</w:t>
      </w:r>
      <w:r w:rsidRPr="00272FD9">
        <w:rPr>
          <w:rFonts w:ascii="Arial" w:hAnsi="Arial" w:cs="Arial"/>
          <w:bCs/>
          <w:i/>
        </w:rPr>
        <w:t xml:space="preserve"> the Immigration Department of Malaysia, the National Registration Department, the National Security Council</w:t>
      </w:r>
      <w:bookmarkStart w:id="0" w:name="_GoBack"/>
      <w:bookmarkEnd w:id="0"/>
      <w:r w:rsidRPr="00272FD9">
        <w:rPr>
          <w:rFonts w:ascii="Arial" w:hAnsi="Arial" w:cs="Arial"/>
          <w:bCs/>
          <w:i/>
        </w:rPr>
        <w:t xml:space="preserve">, Chief Minister’s Office of Sabah and United Nations High Commissioner for Refugees (UNHCR). These active pass data serve as the basis for calculating the current estimates supplemented by other data such as detention </w:t>
      </w:r>
      <w:r w:rsidR="00063FC8" w:rsidRPr="00272FD9">
        <w:rPr>
          <w:rFonts w:ascii="Arial" w:hAnsi="Arial" w:cs="Arial"/>
          <w:bCs/>
          <w:i/>
        </w:rPr>
        <w:t>center</w:t>
      </w:r>
      <w:r w:rsidRPr="00272FD9">
        <w:rPr>
          <w:rFonts w:ascii="Arial" w:hAnsi="Arial" w:cs="Arial"/>
          <w:bCs/>
          <w:i/>
        </w:rPr>
        <w:t xml:space="preserve"> records, apprehensions of undocumented migrants and foreign student registrations. In addition, other data reflecting the current situation</w:t>
      </w:r>
      <w:r w:rsidR="00354686" w:rsidRPr="00272FD9">
        <w:rPr>
          <w:rFonts w:ascii="Arial" w:hAnsi="Arial" w:cs="Arial"/>
          <w:bCs/>
          <w:i/>
        </w:rPr>
        <w:t xml:space="preserve"> </w:t>
      </w:r>
      <w:r w:rsidRPr="00272FD9">
        <w:rPr>
          <w:rFonts w:ascii="Arial" w:hAnsi="Arial" w:cs="Arial"/>
          <w:bCs/>
          <w:i/>
        </w:rPr>
        <w:t xml:space="preserve">such as the Return Recalibration Program, the Labour Recalibration Program, foreign worker entry quotas and other are also </w:t>
      </w:r>
      <w:r w:rsidR="00354686" w:rsidRPr="00272FD9">
        <w:rPr>
          <w:rFonts w:ascii="Arial" w:hAnsi="Arial" w:cs="Arial"/>
          <w:bCs/>
          <w:i/>
        </w:rPr>
        <w:t>considered</w:t>
      </w:r>
      <w:r w:rsidRPr="00272FD9">
        <w:rPr>
          <w:rFonts w:ascii="Arial" w:hAnsi="Arial" w:cs="Arial"/>
          <w:bCs/>
          <w:i/>
        </w:rPr>
        <w:t xml:space="preserve"> in </w:t>
      </w:r>
      <w:r w:rsidR="00063FC8" w:rsidRPr="00272FD9">
        <w:rPr>
          <w:rFonts w:ascii="Arial" w:hAnsi="Arial" w:cs="Arial"/>
          <w:bCs/>
          <w:i/>
        </w:rPr>
        <w:t>analyzing</w:t>
      </w:r>
      <w:r w:rsidRPr="00272FD9">
        <w:rPr>
          <w:rFonts w:ascii="Arial" w:hAnsi="Arial" w:cs="Arial"/>
          <w:bCs/>
          <w:i/>
        </w:rPr>
        <w:t xml:space="preserve"> the current estimates of </w:t>
      </w:r>
      <w:r w:rsidR="007524A8" w:rsidRPr="00272FD9">
        <w:rPr>
          <w:rFonts w:ascii="Arial" w:hAnsi="Arial" w:cs="Arial"/>
          <w:bCs/>
          <w:i/>
        </w:rPr>
        <w:t>Non-citizens</w:t>
      </w:r>
      <w:r w:rsidRPr="00272FD9">
        <w:rPr>
          <w:rFonts w:ascii="Arial" w:hAnsi="Arial" w:cs="Arial"/>
          <w:bCs/>
          <w:i/>
        </w:rPr>
        <w:t>.</w:t>
      </w:r>
    </w:p>
    <w:p w14:paraId="574FC0F9" w14:textId="77777777" w:rsidR="00272FD9" w:rsidRPr="00272FD9" w:rsidRDefault="00272FD9" w:rsidP="00272FD9">
      <w:pPr>
        <w:pStyle w:val="ListParagraph"/>
        <w:rPr>
          <w:rFonts w:ascii="Arial" w:hAnsi="Arial" w:cs="Arial"/>
          <w:bCs/>
          <w:i/>
        </w:rPr>
      </w:pPr>
    </w:p>
    <w:p w14:paraId="4BA2D8F2" w14:textId="17FD7E94" w:rsidR="001B017D" w:rsidRPr="00272FD9" w:rsidRDefault="001B017D" w:rsidP="00272FD9">
      <w:pPr>
        <w:pStyle w:val="ListParagraph"/>
        <w:numPr>
          <w:ilvl w:val="1"/>
          <w:numId w:val="22"/>
        </w:numPr>
        <w:spacing w:after="0" w:line="360" w:lineRule="auto"/>
        <w:ind w:left="1134" w:hanging="567"/>
        <w:jc w:val="both"/>
        <w:rPr>
          <w:rFonts w:ascii="Arial" w:hAnsi="Arial" w:cs="Arial"/>
          <w:bCs/>
          <w:i/>
        </w:rPr>
      </w:pPr>
      <w:r w:rsidRPr="00272FD9">
        <w:rPr>
          <w:rFonts w:ascii="Arial" w:hAnsi="Arial" w:cs="Arial"/>
          <w:bCs/>
          <w:i/>
        </w:rPr>
        <w:t xml:space="preserve">The current estimates of </w:t>
      </w:r>
      <w:r w:rsidR="0022675B">
        <w:rPr>
          <w:rFonts w:ascii="Arial" w:hAnsi="Arial" w:cs="Arial"/>
          <w:bCs/>
          <w:i/>
        </w:rPr>
        <w:t>N</w:t>
      </w:r>
      <w:r w:rsidRPr="00272FD9">
        <w:rPr>
          <w:rFonts w:ascii="Arial" w:hAnsi="Arial" w:cs="Arial"/>
          <w:bCs/>
          <w:i/>
        </w:rPr>
        <w:t xml:space="preserve">on-citizens are </w:t>
      </w:r>
      <w:r w:rsidR="00D21685" w:rsidRPr="00272FD9">
        <w:rPr>
          <w:rFonts w:ascii="Arial" w:hAnsi="Arial" w:cs="Arial"/>
          <w:bCs/>
          <w:i/>
        </w:rPr>
        <w:t>analyzed</w:t>
      </w:r>
      <w:r w:rsidRPr="00272FD9">
        <w:rPr>
          <w:rFonts w:ascii="Arial" w:hAnsi="Arial" w:cs="Arial"/>
          <w:bCs/>
          <w:i/>
        </w:rPr>
        <w:t xml:space="preserve"> using a bottom-up approach. Non-citizens are estimated according to single age and sex at the state administrative district levels. Findings from the Labour Force Survey are among the main sources referenced in preparing estimates at the state and administrative district levels. The total number of </w:t>
      </w:r>
      <w:r w:rsidR="00FC149B">
        <w:rPr>
          <w:rFonts w:ascii="Arial" w:hAnsi="Arial" w:cs="Arial"/>
          <w:bCs/>
          <w:i/>
        </w:rPr>
        <w:t>N</w:t>
      </w:r>
      <w:r w:rsidRPr="00272FD9">
        <w:rPr>
          <w:rFonts w:ascii="Arial" w:hAnsi="Arial" w:cs="Arial"/>
          <w:bCs/>
          <w:i/>
        </w:rPr>
        <w:t>on-citizens in Malaysia is the summation of all state population estimates.</w:t>
      </w:r>
    </w:p>
    <w:p w14:paraId="403B9EB9" w14:textId="77777777" w:rsidR="00055352" w:rsidRPr="00382EFC" w:rsidRDefault="00055352" w:rsidP="00D45F23">
      <w:pPr>
        <w:pStyle w:val="ListParagraph"/>
        <w:spacing w:after="0" w:line="480" w:lineRule="auto"/>
        <w:ind w:left="792"/>
        <w:contextualSpacing w:val="0"/>
        <w:jc w:val="both"/>
        <w:rPr>
          <w:rFonts w:ascii="Arial" w:hAnsi="Arial" w:cs="Arial"/>
          <w:b/>
          <w:bCs/>
          <w:i/>
        </w:rPr>
      </w:pPr>
    </w:p>
    <w:p w14:paraId="17B4B568" w14:textId="28547FC0" w:rsidR="00055352" w:rsidRPr="00EE3FC8" w:rsidRDefault="00055352" w:rsidP="00EE3FC8">
      <w:pPr>
        <w:pStyle w:val="ListParagraph"/>
        <w:numPr>
          <w:ilvl w:val="0"/>
          <w:numId w:val="22"/>
        </w:numPr>
        <w:spacing w:after="160" w:line="360" w:lineRule="auto"/>
        <w:ind w:left="567" w:hanging="567"/>
        <w:contextualSpacing w:val="0"/>
        <w:jc w:val="both"/>
        <w:rPr>
          <w:rFonts w:ascii="Arial" w:hAnsi="Arial" w:cs="Arial"/>
          <w:b/>
          <w:bCs/>
          <w:i/>
        </w:rPr>
      </w:pPr>
      <w:r w:rsidRPr="00382EFC">
        <w:rPr>
          <w:rFonts w:ascii="Arial" w:hAnsi="Arial" w:cs="Arial"/>
          <w:b/>
          <w:bCs/>
          <w:i/>
        </w:rPr>
        <w:t>CONCEPTS AND DEFINITIONS</w:t>
      </w:r>
    </w:p>
    <w:p w14:paraId="4E834D39" w14:textId="7EBE2720" w:rsidR="00B3010F" w:rsidRPr="00EE3FC8" w:rsidRDefault="00055352" w:rsidP="00EE3FC8">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t>Average annual growth rate</w:t>
      </w:r>
      <w:r w:rsidR="00A96B5A" w:rsidRPr="00382EFC">
        <w:rPr>
          <w:rFonts w:ascii="Arial" w:hAnsi="Arial" w:cs="Arial"/>
          <w:b/>
          <w:i/>
        </w:rPr>
        <w:t xml:space="preserve"> of </w:t>
      </w:r>
      <w:r w:rsidR="007524A8" w:rsidRPr="00382EFC">
        <w:rPr>
          <w:rFonts w:ascii="Arial" w:hAnsi="Arial" w:cs="Arial"/>
          <w:b/>
          <w:i/>
        </w:rPr>
        <w:t>Non-citizens</w:t>
      </w:r>
    </w:p>
    <w:p w14:paraId="39854E56" w14:textId="2FFC22B1" w:rsidR="00055352" w:rsidRPr="00272FD9" w:rsidRDefault="00055352" w:rsidP="00272FD9">
      <w:pPr>
        <w:spacing w:after="0" w:line="360" w:lineRule="auto"/>
        <w:ind w:left="1134"/>
        <w:jc w:val="both"/>
        <w:rPr>
          <w:rFonts w:ascii="Arial" w:hAnsi="Arial" w:cs="Arial"/>
          <w:i/>
        </w:rPr>
      </w:pPr>
      <w:r w:rsidRPr="00272FD9">
        <w:rPr>
          <w:rFonts w:ascii="Arial" w:hAnsi="Arial" w:cs="Arial"/>
          <w:i/>
        </w:rPr>
        <w:t>Refers to the change in population over</w:t>
      </w:r>
      <w:r w:rsidR="00A32502" w:rsidRPr="00272FD9">
        <w:rPr>
          <w:rFonts w:ascii="Arial" w:hAnsi="Arial" w:cs="Arial"/>
          <w:i/>
        </w:rPr>
        <w:t xml:space="preserve"> </w:t>
      </w:r>
      <w:r w:rsidRPr="00272FD9">
        <w:rPr>
          <w:rFonts w:ascii="Arial" w:hAnsi="Arial" w:cs="Arial"/>
          <w:i/>
        </w:rPr>
        <w:t>time</w:t>
      </w:r>
      <w:r w:rsidR="00A32502" w:rsidRPr="00272FD9">
        <w:rPr>
          <w:rFonts w:ascii="Arial" w:hAnsi="Arial" w:cs="Arial"/>
          <w:i/>
        </w:rPr>
        <w:t xml:space="preserve"> </w:t>
      </w:r>
      <w:r w:rsidRPr="00272FD9">
        <w:rPr>
          <w:rFonts w:ascii="Arial" w:hAnsi="Arial" w:cs="Arial"/>
          <w:i/>
        </w:rPr>
        <w:t>and</w:t>
      </w:r>
      <w:r w:rsidR="00A32502" w:rsidRPr="00272FD9">
        <w:rPr>
          <w:rFonts w:ascii="Arial" w:hAnsi="Arial" w:cs="Arial"/>
          <w:i/>
        </w:rPr>
        <w:t xml:space="preserve"> </w:t>
      </w:r>
      <w:r w:rsidRPr="00272FD9">
        <w:rPr>
          <w:rFonts w:ascii="Arial" w:hAnsi="Arial" w:cs="Arial"/>
          <w:i/>
        </w:rPr>
        <w:t>can be quantified as the change in the number of individuals in a population using “per unit time” for measurement.</w:t>
      </w:r>
    </w:p>
    <w:p w14:paraId="40518BC7" w14:textId="77777777" w:rsidR="00A96B5A" w:rsidRPr="00D45F23" w:rsidRDefault="00A96B5A" w:rsidP="00D45F23">
      <w:pPr>
        <w:spacing w:after="0" w:line="360" w:lineRule="auto"/>
        <w:jc w:val="both"/>
        <w:rPr>
          <w:rFonts w:ascii="Arial" w:hAnsi="Arial" w:cs="Arial"/>
          <w:i/>
        </w:rPr>
      </w:pPr>
    </w:p>
    <w:p w14:paraId="0D2D8D7E" w14:textId="2F6ABF00" w:rsidR="00791085" w:rsidRPr="00382EFC" w:rsidRDefault="00405160" w:rsidP="00272FD9">
      <w:pPr>
        <w:pStyle w:val="ListParagraph"/>
        <w:spacing w:after="0" w:line="360" w:lineRule="auto"/>
        <w:ind w:left="1080"/>
        <w:contextualSpacing w:val="0"/>
        <w:jc w:val="both"/>
        <w:rPr>
          <w:rFonts w:ascii="Arial" w:eastAsiaTheme="minorEastAsia" w:hAnsi="Arial" w:cs="Arial"/>
          <w:b/>
          <w:i/>
        </w:rPr>
      </w:pPr>
      <m:oMathPara>
        <m:oMath>
          <m:r>
            <m:rPr>
              <m:sty m:val="bi"/>
            </m:rPr>
            <w:rPr>
              <w:rFonts w:ascii="Cambria Math" w:hAnsi="Cambria Math" w:cs="Arial"/>
            </w:rPr>
            <m:t xml:space="preserve">r= </m:t>
          </m:r>
          <m:f>
            <m:fPr>
              <m:ctrlPr>
                <w:rPr>
                  <w:rFonts w:ascii="Cambria Math" w:hAnsi="Cambria Math" w:cs="Arial"/>
                  <w:b/>
                  <w:i/>
                </w:rPr>
              </m:ctrlPr>
            </m:fPr>
            <m:num>
              <m:r>
                <m:rPr>
                  <m:sty m:val="bi"/>
                </m:rPr>
                <w:rPr>
                  <w:rFonts w:ascii="Cambria Math" w:hAnsi="Cambria Math" w:cs="Arial"/>
                </w:rPr>
                <m:t>1</m:t>
              </m:r>
            </m:num>
            <m:den>
              <m:r>
                <m:rPr>
                  <m:sty m:val="bi"/>
                </m:rPr>
                <w:rPr>
                  <w:rFonts w:ascii="Cambria Math" w:hAnsi="Cambria Math" w:cs="Arial"/>
                </w:rPr>
                <m:t>n</m:t>
              </m:r>
            </m:den>
          </m:f>
          <m:func>
            <m:funcPr>
              <m:ctrlPr>
                <w:rPr>
                  <w:rFonts w:ascii="Cambria Math" w:hAnsi="Cambria Math" w:cs="Arial"/>
                  <w:b/>
                  <w:i/>
                </w:rPr>
              </m:ctrlPr>
            </m:funcPr>
            <m:fName>
              <m:r>
                <m:rPr>
                  <m:sty m:val="bi"/>
                </m:rPr>
                <w:rPr>
                  <w:rFonts w:ascii="Cambria Math" w:hAnsi="Cambria Math" w:cs="Arial"/>
                </w:rPr>
                <m:t xml:space="preserve"> ln</m:t>
              </m:r>
            </m:fName>
            <m:e>
              <m:r>
                <m:rPr>
                  <m:sty m:val="bi"/>
                </m:rPr>
                <w:rPr>
                  <w:rFonts w:ascii="Cambria Math" w:hAnsi="Cambria Math" w:cs="Arial"/>
                </w:rPr>
                <m:t xml:space="preserve"> [ </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t+n</m:t>
                      </m:r>
                    </m:sub>
                  </m:sSub>
                </m:num>
                <m:den>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t</m:t>
                      </m:r>
                    </m:sub>
                  </m:sSub>
                </m:den>
              </m:f>
            </m:e>
          </m:func>
          <m:r>
            <m:rPr>
              <m:sty m:val="bi"/>
            </m:rPr>
            <w:rPr>
              <w:rFonts w:ascii="Cambria Math" w:hAnsi="Cambria Math" w:cs="Arial"/>
            </w:rPr>
            <m:t xml:space="preserve"> ] ×100</m:t>
          </m:r>
        </m:oMath>
      </m:oMathPara>
    </w:p>
    <w:p w14:paraId="2799CF26" w14:textId="77777777" w:rsidR="00055352" w:rsidRPr="00382EFC" w:rsidRDefault="00055352" w:rsidP="00272FD9">
      <w:pPr>
        <w:pStyle w:val="ListParagraph"/>
        <w:spacing w:after="0" w:line="360" w:lineRule="auto"/>
        <w:ind w:left="1080"/>
        <w:contextualSpacing w:val="0"/>
        <w:jc w:val="both"/>
        <w:rPr>
          <w:rFonts w:ascii="Arial" w:hAnsi="Arial" w:cs="Arial"/>
          <w:i/>
        </w:rPr>
      </w:pPr>
      <w:r w:rsidRPr="00382EFC">
        <w:rPr>
          <w:rFonts w:ascii="Arial" w:hAnsi="Arial" w:cs="Arial"/>
          <w:i/>
        </w:rPr>
        <w:t>where;</w:t>
      </w:r>
    </w:p>
    <w:p w14:paraId="52ACBD5E" w14:textId="77777777" w:rsidR="00791085" w:rsidRPr="00382EFC" w:rsidRDefault="00791085" w:rsidP="00382EFC">
      <w:pPr>
        <w:pStyle w:val="ListParagraph"/>
        <w:spacing w:after="0" w:line="360" w:lineRule="auto"/>
        <w:ind w:left="2160"/>
        <w:contextualSpacing w:val="0"/>
        <w:jc w:val="both"/>
        <w:rPr>
          <w:rFonts w:ascii="Arial" w:hAnsi="Arial" w:cs="Arial"/>
          <w:i/>
        </w:rPr>
      </w:pPr>
    </w:p>
    <w:p w14:paraId="47E9B3D0" w14:textId="09C3CB9B" w:rsidR="00055352" w:rsidRPr="00382EFC" w:rsidRDefault="00405160" w:rsidP="00790677">
      <w:pPr>
        <w:pStyle w:val="ListParagraph"/>
        <w:tabs>
          <w:tab w:val="left" w:pos="1843"/>
        </w:tabs>
        <w:spacing w:after="0" w:line="360" w:lineRule="auto"/>
        <w:ind w:left="1080"/>
        <w:contextualSpacing w:val="0"/>
        <w:jc w:val="both"/>
        <w:rPr>
          <w:rFonts w:ascii="Arial" w:hAnsi="Arial" w:cs="Arial"/>
          <w:i/>
        </w:rPr>
      </w:pPr>
      <m:oMath>
        <m:r>
          <m:rPr>
            <m:sty m:val="bi"/>
          </m:rPr>
          <w:rPr>
            <w:rFonts w:ascii="Cambria Math" w:hAnsi="Cambria Math" w:cs="Arial"/>
          </w:rPr>
          <m:t>r</m:t>
        </m:r>
      </m:oMath>
      <w:r w:rsidR="00055352" w:rsidRPr="00382EFC">
        <w:rPr>
          <w:rFonts w:ascii="Arial" w:eastAsiaTheme="minorEastAsia" w:hAnsi="Arial" w:cs="Arial"/>
          <w:b/>
          <w:i/>
        </w:rPr>
        <w:tab/>
        <w:t>=</w:t>
      </w:r>
      <w:r w:rsidR="00055352" w:rsidRPr="00382EFC">
        <w:rPr>
          <w:rFonts w:ascii="Arial" w:eastAsiaTheme="minorEastAsia" w:hAnsi="Arial" w:cs="Arial"/>
          <w:b/>
          <w:i/>
        </w:rPr>
        <w:tab/>
      </w:r>
      <w:r w:rsidR="00055352" w:rsidRPr="00382EFC">
        <w:rPr>
          <w:rFonts w:ascii="Arial" w:hAnsi="Arial" w:cs="Arial"/>
          <w:i/>
        </w:rPr>
        <w:t>average annual growth rate</w:t>
      </w:r>
      <w:r w:rsidR="00A96B5A" w:rsidRPr="00382EFC">
        <w:rPr>
          <w:rFonts w:ascii="Arial" w:hAnsi="Arial" w:cs="Arial"/>
          <w:i/>
        </w:rPr>
        <w:t xml:space="preserve"> of </w:t>
      </w:r>
      <w:r w:rsidR="007524A8" w:rsidRPr="00382EFC">
        <w:rPr>
          <w:rFonts w:ascii="Arial" w:hAnsi="Arial" w:cs="Arial"/>
          <w:i/>
        </w:rPr>
        <w:t>Non-citizens</w:t>
      </w:r>
      <w:r w:rsidR="00055352" w:rsidRPr="00382EFC">
        <w:rPr>
          <w:rFonts w:ascii="Arial" w:hAnsi="Arial" w:cs="Arial"/>
          <w:i/>
        </w:rPr>
        <w:t>;</w:t>
      </w:r>
    </w:p>
    <w:p w14:paraId="6BA40548" w14:textId="01463DF5" w:rsidR="00055352" w:rsidRPr="00382EFC" w:rsidRDefault="00091AB2" w:rsidP="00790677">
      <w:pPr>
        <w:pStyle w:val="ListParagraph"/>
        <w:tabs>
          <w:tab w:val="left" w:pos="1843"/>
        </w:tabs>
        <w:spacing w:after="0" w:line="360" w:lineRule="auto"/>
        <w:ind w:left="1080"/>
        <w:contextualSpacing w:val="0"/>
        <w:jc w:val="both"/>
        <w:rPr>
          <w:rFonts w:ascii="Arial" w:hAnsi="Arial" w:cs="Arial"/>
          <w:i/>
        </w:rPr>
      </w:pPr>
      <m:oMath>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t</m:t>
            </m:r>
          </m:sub>
        </m:sSub>
      </m:oMath>
      <w:r w:rsidR="00055352" w:rsidRPr="00382EFC">
        <w:rPr>
          <w:rFonts w:ascii="Arial" w:eastAsiaTheme="minorEastAsia" w:hAnsi="Arial" w:cs="Arial"/>
          <w:b/>
          <w:i/>
        </w:rPr>
        <w:tab/>
        <w:t>=</w:t>
      </w:r>
      <w:r w:rsidR="00055352" w:rsidRPr="00382EFC">
        <w:rPr>
          <w:rFonts w:ascii="Arial" w:eastAsiaTheme="minorEastAsia" w:hAnsi="Arial" w:cs="Arial"/>
          <w:b/>
          <w:i/>
        </w:rPr>
        <w:tab/>
      </w:r>
      <w:r w:rsidR="00055352" w:rsidRPr="00382EFC">
        <w:rPr>
          <w:rFonts w:ascii="Arial" w:hAnsi="Arial" w:cs="Arial"/>
          <w:i/>
        </w:rPr>
        <w:t xml:space="preserve">population </w:t>
      </w:r>
      <w:r w:rsidR="00A96B5A" w:rsidRPr="00382EFC">
        <w:rPr>
          <w:rFonts w:ascii="Arial" w:hAnsi="Arial" w:cs="Arial"/>
          <w:i/>
        </w:rPr>
        <w:t xml:space="preserve">of </w:t>
      </w:r>
      <w:r w:rsidR="007524A8" w:rsidRPr="00382EFC">
        <w:rPr>
          <w:rFonts w:ascii="Arial" w:hAnsi="Arial" w:cs="Arial"/>
          <w:i/>
        </w:rPr>
        <w:t>Non-citizens</w:t>
      </w:r>
      <w:r w:rsidR="00A96B5A" w:rsidRPr="00382EFC">
        <w:rPr>
          <w:rFonts w:ascii="Arial" w:hAnsi="Arial" w:cs="Arial"/>
          <w:i/>
        </w:rPr>
        <w:t xml:space="preserve"> </w:t>
      </w:r>
      <w:r w:rsidR="00055352" w:rsidRPr="00382EFC">
        <w:rPr>
          <w:rFonts w:ascii="Arial" w:hAnsi="Arial" w:cs="Arial"/>
          <w:i/>
        </w:rPr>
        <w:t>at time t;</w:t>
      </w:r>
    </w:p>
    <w:p w14:paraId="0E6B8961" w14:textId="327BCAA6" w:rsidR="00055352" w:rsidRPr="00382EFC" w:rsidRDefault="00091AB2" w:rsidP="00790677">
      <w:pPr>
        <w:pStyle w:val="ListParagraph"/>
        <w:tabs>
          <w:tab w:val="left" w:pos="1843"/>
        </w:tabs>
        <w:spacing w:after="0" w:line="360" w:lineRule="auto"/>
        <w:ind w:left="1080"/>
        <w:contextualSpacing w:val="0"/>
        <w:jc w:val="both"/>
        <w:rPr>
          <w:rFonts w:ascii="Arial" w:hAnsi="Arial" w:cs="Arial"/>
          <w:i/>
        </w:rPr>
      </w:pPr>
      <m:oMath>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t+n</m:t>
            </m:r>
          </m:sub>
        </m:sSub>
      </m:oMath>
      <w:r w:rsidR="00055352" w:rsidRPr="00382EFC">
        <w:rPr>
          <w:rFonts w:ascii="Arial" w:eastAsiaTheme="minorEastAsia" w:hAnsi="Arial" w:cs="Arial"/>
          <w:b/>
          <w:i/>
        </w:rPr>
        <w:tab/>
        <w:t>=</w:t>
      </w:r>
      <w:r w:rsidR="00055352" w:rsidRPr="00382EFC">
        <w:rPr>
          <w:rFonts w:ascii="Arial" w:eastAsiaTheme="minorEastAsia" w:hAnsi="Arial" w:cs="Arial"/>
          <w:b/>
          <w:i/>
        </w:rPr>
        <w:tab/>
      </w:r>
      <w:r w:rsidR="00055352" w:rsidRPr="00382EFC">
        <w:rPr>
          <w:rFonts w:ascii="Arial" w:hAnsi="Arial" w:cs="Arial"/>
          <w:i/>
        </w:rPr>
        <w:t xml:space="preserve">population </w:t>
      </w:r>
      <w:r w:rsidR="00A96B5A" w:rsidRPr="00382EFC">
        <w:rPr>
          <w:rFonts w:ascii="Arial" w:hAnsi="Arial" w:cs="Arial"/>
          <w:i/>
        </w:rPr>
        <w:t xml:space="preserve">of </w:t>
      </w:r>
      <w:r w:rsidR="007524A8" w:rsidRPr="00382EFC">
        <w:rPr>
          <w:rFonts w:ascii="Arial" w:hAnsi="Arial" w:cs="Arial"/>
          <w:i/>
        </w:rPr>
        <w:t>Non-citizens</w:t>
      </w:r>
      <w:r w:rsidR="00A96B5A" w:rsidRPr="00382EFC">
        <w:rPr>
          <w:rFonts w:ascii="Arial" w:hAnsi="Arial" w:cs="Arial"/>
          <w:i/>
        </w:rPr>
        <w:t xml:space="preserve"> </w:t>
      </w:r>
      <w:r w:rsidR="00055352" w:rsidRPr="00382EFC">
        <w:rPr>
          <w:rFonts w:ascii="Arial" w:hAnsi="Arial" w:cs="Arial"/>
          <w:i/>
        </w:rPr>
        <w:t xml:space="preserve">at year </w:t>
      </w:r>
      <w:proofErr w:type="spellStart"/>
      <w:r w:rsidR="00055352" w:rsidRPr="00382EFC">
        <w:rPr>
          <w:rFonts w:ascii="Arial" w:hAnsi="Arial" w:cs="Arial"/>
          <w:i/>
        </w:rPr>
        <w:t>t+n</w:t>
      </w:r>
      <w:proofErr w:type="spellEnd"/>
      <w:r w:rsidR="00055352" w:rsidRPr="00382EFC">
        <w:rPr>
          <w:rFonts w:ascii="Arial" w:hAnsi="Arial" w:cs="Arial"/>
          <w:i/>
        </w:rPr>
        <w:t>;</w:t>
      </w:r>
    </w:p>
    <w:p w14:paraId="4E820935" w14:textId="3A1442DD" w:rsidR="00055352" w:rsidRPr="00382EFC" w:rsidRDefault="00405160" w:rsidP="00790677">
      <w:pPr>
        <w:pStyle w:val="ListParagraph"/>
        <w:tabs>
          <w:tab w:val="left" w:pos="1843"/>
        </w:tabs>
        <w:spacing w:after="0" w:line="360" w:lineRule="auto"/>
        <w:ind w:left="1080"/>
        <w:contextualSpacing w:val="0"/>
        <w:jc w:val="both"/>
        <w:rPr>
          <w:rFonts w:ascii="Arial" w:hAnsi="Arial" w:cs="Arial"/>
          <w:i/>
        </w:rPr>
      </w:pPr>
      <m:oMath>
        <m:r>
          <m:rPr>
            <m:sty m:val="bi"/>
          </m:rPr>
          <w:rPr>
            <w:rFonts w:ascii="Cambria Math" w:hAnsi="Cambria Math" w:cs="Arial"/>
          </w:rPr>
          <m:t>n</m:t>
        </m:r>
      </m:oMath>
      <w:r w:rsidR="00055352" w:rsidRPr="00382EFC">
        <w:rPr>
          <w:rFonts w:ascii="Arial" w:eastAsiaTheme="minorEastAsia" w:hAnsi="Arial" w:cs="Arial"/>
          <w:b/>
          <w:i/>
        </w:rPr>
        <w:tab/>
        <w:t>=</w:t>
      </w:r>
      <w:r w:rsidR="00055352" w:rsidRPr="00382EFC">
        <w:rPr>
          <w:rFonts w:ascii="Arial" w:eastAsiaTheme="minorEastAsia" w:hAnsi="Arial" w:cs="Arial"/>
          <w:b/>
          <w:i/>
        </w:rPr>
        <w:tab/>
      </w:r>
      <w:r w:rsidR="00055352" w:rsidRPr="00382EFC">
        <w:rPr>
          <w:rFonts w:ascii="Arial" w:hAnsi="Arial" w:cs="Arial"/>
          <w:i/>
        </w:rPr>
        <w:t xml:space="preserve">number of </w:t>
      </w:r>
      <w:r w:rsidR="00A32502" w:rsidRPr="00382EFC">
        <w:rPr>
          <w:rFonts w:ascii="Arial" w:hAnsi="Arial" w:cs="Arial"/>
          <w:i/>
        </w:rPr>
        <w:t xml:space="preserve">the </w:t>
      </w:r>
      <w:r w:rsidR="00055352" w:rsidRPr="00382EFC">
        <w:rPr>
          <w:rFonts w:ascii="Arial" w:hAnsi="Arial" w:cs="Arial"/>
          <w:i/>
        </w:rPr>
        <w:t>year; and</w:t>
      </w:r>
    </w:p>
    <w:p w14:paraId="6DA80E38" w14:textId="6E7D61A2" w:rsidR="00A04048" w:rsidRDefault="00405160" w:rsidP="00790677">
      <w:pPr>
        <w:pStyle w:val="ListParagraph"/>
        <w:tabs>
          <w:tab w:val="left" w:pos="1843"/>
        </w:tabs>
        <w:spacing w:after="0" w:line="360" w:lineRule="auto"/>
        <w:ind w:left="1080"/>
        <w:contextualSpacing w:val="0"/>
        <w:jc w:val="both"/>
        <w:rPr>
          <w:rFonts w:ascii="Arial" w:hAnsi="Arial" w:cs="Arial"/>
          <w:i/>
        </w:rPr>
      </w:pPr>
      <m:oMath>
        <m:r>
          <m:rPr>
            <m:sty m:val="bi"/>
          </m:rPr>
          <w:rPr>
            <w:rFonts w:ascii="Cambria Math" w:hAnsi="Cambria Math" w:cs="Arial"/>
          </w:rPr>
          <m:t>ln</m:t>
        </m:r>
      </m:oMath>
      <w:r w:rsidR="00055352" w:rsidRPr="00382EFC">
        <w:rPr>
          <w:rFonts w:ascii="Arial" w:eastAsiaTheme="minorEastAsia" w:hAnsi="Arial" w:cs="Arial"/>
          <w:b/>
          <w:i/>
        </w:rPr>
        <w:tab/>
        <w:t>=</w:t>
      </w:r>
      <w:r w:rsidR="00055352" w:rsidRPr="00382EFC">
        <w:rPr>
          <w:rFonts w:ascii="Arial" w:eastAsiaTheme="minorEastAsia" w:hAnsi="Arial" w:cs="Arial"/>
          <w:b/>
          <w:i/>
        </w:rPr>
        <w:tab/>
      </w:r>
      <w:r w:rsidR="00055352" w:rsidRPr="00382EFC">
        <w:rPr>
          <w:rFonts w:ascii="Arial" w:hAnsi="Arial" w:cs="Arial"/>
          <w:i/>
        </w:rPr>
        <w:t>natural logarithm.</w:t>
      </w:r>
    </w:p>
    <w:p w14:paraId="5B1775F7" w14:textId="2E157726" w:rsidR="00EE3FC8" w:rsidRDefault="00EE3FC8" w:rsidP="00790677">
      <w:pPr>
        <w:pStyle w:val="ListParagraph"/>
        <w:tabs>
          <w:tab w:val="left" w:pos="1843"/>
        </w:tabs>
        <w:spacing w:after="0" w:line="360" w:lineRule="auto"/>
        <w:ind w:left="1080"/>
        <w:contextualSpacing w:val="0"/>
        <w:jc w:val="both"/>
        <w:rPr>
          <w:rFonts w:ascii="Arial" w:hAnsi="Arial" w:cs="Arial"/>
          <w:i/>
        </w:rPr>
      </w:pPr>
    </w:p>
    <w:p w14:paraId="0888AE4C" w14:textId="77777777" w:rsidR="00EE3FC8" w:rsidRPr="00382EFC" w:rsidRDefault="00EE3FC8" w:rsidP="00790677">
      <w:pPr>
        <w:pStyle w:val="ListParagraph"/>
        <w:tabs>
          <w:tab w:val="left" w:pos="1843"/>
        </w:tabs>
        <w:spacing w:after="0" w:line="360" w:lineRule="auto"/>
        <w:ind w:left="1080"/>
        <w:contextualSpacing w:val="0"/>
        <w:jc w:val="both"/>
        <w:rPr>
          <w:rFonts w:ascii="Arial" w:hAnsi="Arial" w:cs="Arial"/>
          <w:i/>
        </w:rPr>
      </w:pPr>
    </w:p>
    <w:p w14:paraId="27AC8A27" w14:textId="1813A903" w:rsidR="00B3010F" w:rsidRPr="00EE3FC8" w:rsidRDefault="00055352" w:rsidP="00EE3FC8">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lastRenderedPageBreak/>
        <w:t>Median age</w:t>
      </w:r>
    </w:p>
    <w:p w14:paraId="476442C4" w14:textId="109E1B8E" w:rsidR="00055352" w:rsidRPr="00382EFC" w:rsidRDefault="002777EF" w:rsidP="009F2E9F">
      <w:pPr>
        <w:pStyle w:val="ListParagraph"/>
        <w:spacing w:after="0" w:line="360" w:lineRule="auto"/>
        <w:ind w:left="1134"/>
        <w:contextualSpacing w:val="0"/>
        <w:jc w:val="both"/>
        <w:rPr>
          <w:rFonts w:ascii="Arial" w:hAnsi="Arial" w:cs="Arial"/>
          <w:i/>
        </w:rPr>
      </w:pPr>
      <w:r w:rsidRPr="00382EFC">
        <w:rPr>
          <w:rFonts w:ascii="Arial" w:hAnsi="Arial" w:cs="Arial"/>
          <w:i/>
        </w:rPr>
        <w:t>Age that divides the population in two parts of equal size, that is, there are as many persons with ages above the median as there are with ages below the median.</w:t>
      </w:r>
    </w:p>
    <w:p w14:paraId="1C93C5F1" w14:textId="77777777" w:rsidR="002777EF" w:rsidRPr="00382EFC" w:rsidRDefault="002777EF" w:rsidP="00382EFC">
      <w:pPr>
        <w:pStyle w:val="ListParagraph"/>
        <w:spacing w:after="0" w:line="360" w:lineRule="auto"/>
        <w:ind w:left="1170"/>
        <w:contextualSpacing w:val="0"/>
        <w:jc w:val="both"/>
        <w:rPr>
          <w:rFonts w:ascii="Arial" w:hAnsi="Arial" w:cs="Arial"/>
          <w:i/>
        </w:rPr>
      </w:pPr>
    </w:p>
    <w:p w14:paraId="1AA77F20" w14:textId="69A275DA" w:rsidR="00B3010F" w:rsidRPr="00054DD1" w:rsidRDefault="00055352" w:rsidP="00054DD1">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t>Dependency ratio</w:t>
      </w:r>
    </w:p>
    <w:p w14:paraId="0D8F4735" w14:textId="62921DDD" w:rsidR="00055352" w:rsidRDefault="00055352" w:rsidP="009F2E9F">
      <w:pPr>
        <w:pStyle w:val="ListParagraph"/>
        <w:spacing w:after="0" w:line="360" w:lineRule="auto"/>
        <w:ind w:left="1134"/>
        <w:contextualSpacing w:val="0"/>
        <w:jc w:val="both"/>
        <w:rPr>
          <w:rFonts w:ascii="Arial" w:hAnsi="Arial" w:cs="Arial"/>
          <w:i/>
        </w:rPr>
      </w:pPr>
      <w:r w:rsidRPr="00382EFC">
        <w:rPr>
          <w:rFonts w:ascii="Arial" w:hAnsi="Arial" w:cs="Arial"/>
          <w:i/>
        </w:rPr>
        <w:t xml:space="preserve">The dependency ratio is the ratio of dependents to the 100 </w:t>
      </w:r>
      <w:r w:rsidR="00273160" w:rsidRPr="00382EFC">
        <w:rPr>
          <w:rFonts w:ascii="Arial" w:hAnsi="Arial" w:cs="Arial"/>
          <w:i/>
        </w:rPr>
        <w:t>Non-citizens</w:t>
      </w:r>
      <w:r w:rsidRPr="00382EFC">
        <w:rPr>
          <w:rFonts w:ascii="Arial" w:hAnsi="Arial" w:cs="Arial"/>
          <w:i/>
        </w:rPr>
        <w:t xml:space="preserve"> in the working age population. This ratio can be disaggregated into the total dependency ratio, youth dependency ratio and the old-age dependency ratio. </w:t>
      </w:r>
    </w:p>
    <w:p w14:paraId="1A9094E8" w14:textId="77777777" w:rsidR="00D45F23" w:rsidRPr="00382EFC" w:rsidRDefault="00D45F23" w:rsidP="009F2E9F">
      <w:pPr>
        <w:pStyle w:val="ListParagraph"/>
        <w:spacing w:after="0" w:line="360" w:lineRule="auto"/>
        <w:ind w:left="1134"/>
        <w:contextualSpacing w:val="0"/>
        <w:jc w:val="both"/>
        <w:rPr>
          <w:rFonts w:ascii="Arial" w:hAnsi="Arial" w:cs="Arial"/>
          <w:i/>
        </w:rPr>
      </w:pPr>
    </w:p>
    <w:p w14:paraId="63C76BDF" w14:textId="0C218524" w:rsidR="00B3010F" w:rsidRPr="00054DD1" w:rsidRDefault="00055352" w:rsidP="00054DD1">
      <w:pPr>
        <w:pStyle w:val="ListParagraph"/>
        <w:numPr>
          <w:ilvl w:val="2"/>
          <w:numId w:val="22"/>
        </w:numPr>
        <w:spacing w:after="160" w:line="360" w:lineRule="auto"/>
        <w:ind w:left="1843" w:hanging="709"/>
        <w:contextualSpacing w:val="0"/>
        <w:jc w:val="both"/>
        <w:rPr>
          <w:rFonts w:ascii="Arial" w:hAnsi="Arial" w:cs="Arial"/>
          <w:b/>
          <w:i/>
        </w:rPr>
      </w:pPr>
      <w:r w:rsidRPr="00382EFC">
        <w:rPr>
          <w:rFonts w:ascii="Arial" w:hAnsi="Arial" w:cs="Arial"/>
          <w:b/>
          <w:i/>
        </w:rPr>
        <w:t>Total dependency ratio</w:t>
      </w:r>
    </w:p>
    <w:p w14:paraId="5871E153" w14:textId="75A553F0" w:rsidR="00055352" w:rsidRPr="00382EFC" w:rsidRDefault="00055352" w:rsidP="009F2E9F">
      <w:pPr>
        <w:pStyle w:val="ListParagraph"/>
        <w:spacing w:after="0" w:line="360" w:lineRule="auto"/>
        <w:ind w:left="1843"/>
        <w:contextualSpacing w:val="0"/>
        <w:jc w:val="both"/>
        <w:rPr>
          <w:rFonts w:ascii="Arial" w:eastAsia="Calibri" w:hAnsi="Arial" w:cs="Arial"/>
          <w:i/>
        </w:rPr>
      </w:pPr>
      <w:r w:rsidRPr="00382EFC">
        <w:rPr>
          <w:rFonts w:ascii="Arial" w:eastAsia="Calibri" w:hAnsi="Arial" w:cs="Arial"/>
          <w:i/>
        </w:rPr>
        <w:t xml:space="preserve">The total dependency ratio is the number of </w:t>
      </w:r>
      <w:r w:rsidR="00273160" w:rsidRPr="00382EFC">
        <w:rPr>
          <w:rFonts w:ascii="Arial" w:eastAsia="Calibri" w:hAnsi="Arial" w:cs="Arial"/>
          <w:i/>
        </w:rPr>
        <w:t>Non-citizens</w:t>
      </w:r>
      <w:r w:rsidRPr="00382EFC">
        <w:rPr>
          <w:rFonts w:ascii="Arial" w:eastAsia="Calibri" w:hAnsi="Arial" w:cs="Arial"/>
          <w:i/>
        </w:rPr>
        <w:t xml:space="preserve"> under age 15 plus persons aged 65</w:t>
      </w:r>
      <w:r w:rsidR="009455AE" w:rsidRPr="00382EFC">
        <w:rPr>
          <w:rFonts w:ascii="Arial" w:eastAsia="Calibri" w:hAnsi="Arial" w:cs="Arial"/>
          <w:i/>
        </w:rPr>
        <w:t xml:space="preserve"> years</w:t>
      </w:r>
      <w:r w:rsidRPr="00382EFC">
        <w:rPr>
          <w:rFonts w:ascii="Arial" w:eastAsia="Calibri" w:hAnsi="Arial" w:cs="Arial"/>
          <w:i/>
        </w:rPr>
        <w:t xml:space="preserve"> or older per one hundred </w:t>
      </w:r>
      <w:r w:rsidR="00273160" w:rsidRPr="00382EFC">
        <w:rPr>
          <w:rFonts w:ascii="Arial" w:eastAsia="Calibri" w:hAnsi="Arial" w:cs="Arial"/>
          <w:i/>
        </w:rPr>
        <w:t>Non-citizens</w:t>
      </w:r>
      <w:r w:rsidR="009455AE" w:rsidRPr="00382EFC">
        <w:rPr>
          <w:rFonts w:ascii="Arial" w:eastAsia="Calibri" w:hAnsi="Arial" w:cs="Arial"/>
          <w:i/>
        </w:rPr>
        <w:t xml:space="preserve"> aged</w:t>
      </w:r>
      <w:r w:rsidR="00D45F23">
        <w:rPr>
          <w:rFonts w:ascii="Arial" w:eastAsia="Calibri" w:hAnsi="Arial" w:cs="Arial"/>
          <w:i/>
        </w:rPr>
        <w:t xml:space="preserve"> </w:t>
      </w:r>
      <w:r w:rsidRPr="00382EFC">
        <w:rPr>
          <w:rFonts w:ascii="Arial" w:eastAsia="Calibri" w:hAnsi="Arial" w:cs="Arial"/>
          <w:i/>
        </w:rPr>
        <w:t>15 to 64</w:t>
      </w:r>
      <w:r w:rsidR="001571E0" w:rsidRPr="00382EFC">
        <w:rPr>
          <w:rFonts w:ascii="Arial" w:eastAsia="Calibri" w:hAnsi="Arial" w:cs="Arial"/>
          <w:i/>
        </w:rPr>
        <w:t xml:space="preserve"> years.</w:t>
      </w:r>
    </w:p>
    <w:p w14:paraId="23DE0A5D" w14:textId="77777777" w:rsidR="00055352" w:rsidRPr="00382EFC" w:rsidRDefault="00055352" w:rsidP="00382EFC">
      <w:pPr>
        <w:pStyle w:val="ListParagraph"/>
        <w:spacing w:after="0" w:line="360" w:lineRule="auto"/>
        <w:ind w:left="1224"/>
        <w:contextualSpacing w:val="0"/>
        <w:jc w:val="both"/>
        <w:rPr>
          <w:rFonts w:ascii="Arial" w:hAnsi="Arial" w:cs="Arial"/>
          <w:b/>
          <w:i/>
        </w:rPr>
      </w:pPr>
    </w:p>
    <w:p w14:paraId="18406A21" w14:textId="27E358ED" w:rsidR="00055352" w:rsidRPr="003103AA" w:rsidRDefault="003103AA" w:rsidP="003103AA">
      <w:pPr>
        <w:pStyle w:val="ListParagraph"/>
        <w:spacing w:after="0" w:line="360" w:lineRule="auto"/>
        <w:ind w:left="1276"/>
        <w:contextualSpacing w:val="0"/>
        <w:jc w:val="both"/>
        <w:rPr>
          <w:rFonts w:ascii="Arial" w:eastAsiaTheme="minorEastAsia" w:hAnsi="Arial" w:cs="Arial"/>
          <w:i/>
        </w:rPr>
      </w:pPr>
      <m:oMathPara>
        <m:oMathParaPr>
          <m:jc m:val="left"/>
        </m:oMathParaPr>
        <m:oMath>
          <m:r>
            <m:rPr>
              <m:sty m:val="bi"/>
            </m:rPr>
            <w:rPr>
              <w:rFonts w:ascii="Cambria Math" w:hAnsi="Cambria Math" w:cs="Arial"/>
            </w:rPr>
            <m:t xml:space="preserve">            Total dependency ratio</m:t>
          </m:r>
          <m:r>
            <w:rPr>
              <w:rFonts w:ascii="Cambria Math" w:hAnsi="Cambria Math" w:cs="Arial"/>
            </w:rPr>
            <m:t>=</m:t>
          </m:r>
          <m:f>
            <m:fPr>
              <m:ctrlPr>
                <w:rPr>
                  <w:rFonts w:ascii="Cambria Math" w:hAnsi="Cambria Math" w:cs="Arial"/>
                  <w:i/>
                </w:rPr>
              </m:ctrlPr>
            </m:fPr>
            <m:num>
              <m:r>
                <w:rPr>
                  <w:rFonts w:ascii="Cambria Math" w:hAnsi="Cambria Math" w:cs="Arial"/>
                </w:rPr>
                <m:t xml:space="preserve"> </m:t>
              </m:r>
              <m:m>
                <m:mPr>
                  <m:mcs>
                    <m:mc>
                      <m:mcPr>
                        <m:count m:val="1"/>
                        <m:mcJc m:val="center"/>
                      </m:mcPr>
                    </m:mc>
                  </m:mcs>
                  <m:ctrlPr>
                    <w:rPr>
                      <w:rFonts w:ascii="Cambria Math" w:hAnsi="Cambria Math" w:cs="Arial"/>
                      <w:i/>
                    </w:rPr>
                  </m:ctrlPr>
                </m:mPr>
                <m:mr>
                  <m:e>
                    <m:r>
                      <w:rPr>
                        <w:rFonts w:ascii="Cambria Math" w:hAnsi="Cambria Math" w:cs="Arial"/>
                      </w:rPr>
                      <m:t xml:space="preserve">(Number of </m:t>
                    </m:r>
                    <m:r>
                      <m:rPr>
                        <m:nor/>
                      </m:rPr>
                      <w:rPr>
                        <w:rFonts w:ascii="Arial" w:hAnsi="Arial" w:cs="Arial"/>
                        <w:i/>
                      </w:rPr>
                      <m:t>Non-citizens</m:t>
                    </m:r>
                    <m:r>
                      <w:rPr>
                        <w:rFonts w:ascii="Cambria Math" w:hAnsi="Cambria Math" w:cs="Arial"/>
                      </w:rPr>
                      <m:t xml:space="preserve"> aged below 15 years+</m:t>
                    </m:r>
                  </m:e>
                </m:mr>
                <m:mr>
                  <m:e>
                    <m:r>
                      <w:rPr>
                        <w:rFonts w:ascii="Cambria Math" w:hAnsi="Cambria Math" w:cs="Arial"/>
                      </w:rPr>
                      <m:t xml:space="preserve">number of </m:t>
                    </m:r>
                    <m:r>
                      <m:rPr>
                        <m:nor/>
                      </m:rPr>
                      <w:rPr>
                        <w:rFonts w:ascii="Arial" w:hAnsi="Arial" w:cs="Arial"/>
                        <w:i/>
                      </w:rPr>
                      <m:t>Non-citizens</m:t>
                    </m:r>
                    <m:r>
                      <w:rPr>
                        <w:rFonts w:ascii="Cambria Math" w:hAnsi="Cambria Math" w:cs="Arial"/>
                      </w:rPr>
                      <m:t xml:space="preserve"> aged 65 years and over in year t)</m:t>
                    </m:r>
                  </m:e>
                </m:mr>
              </m:m>
            </m:num>
            <m:den>
              <m:r>
                <w:rPr>
                  <w:rFonts w:ascii="Cambria Math" w:hAnsi="Cambria Math" w:cs="Arial"/>
                </w:rPr>
                <m:t xml:space="preserve">Number of </m:t>
              </m:r>
              <m:r>
                <m:rPr>
                  <m:nor/>
                </m:rPr>
                <w:rPr>
                  <w:rFonts w:ascii="Arial" w:hAnsi="Arial" w:cs="Arial"/>
                  <w:i/>
                </w:rPr>
                <m:t>Non-citizens</m:t>
              </m:r>
              <m:r>
                <w:rPr>
                  <w:rFonts w:ascii="Cambria Math" w:hAnsi="Cambria Math" w:cs="Arial"/>
                </w:rPr>
                <m:t xml:space="preserve"> aged </m:t>
              </m:r>
              <m:r>
                <m:rPr>
                  <m:nor/>
                </m:rPr>
                <w:rPr>
                  <w:rFonts w:ascii="Arial" w:hAnsi="Arial" w:cs="Arial"/>
                  <w:i/>
                </w:rPr>
                <m:t>15-64</m:t>
              </m:r>
              <m:r>
                <w:rPr>
                  <w:rFonts w:ascii="Cambria Math" w:hAnsi="Cambria Math" w:cs="Arial"/>
                </w:rPr>
                <m:t xml:space="preserve"> </m:t>
              </m:r>
              <m:r>
                <m:rPr>
                  <m:sty m:val="p"/>
                </m:rPr>
                <w:rPr>
                  <w:rFonts w:ascii="Cambria Math" w:eastAsia="Calibri" w:hAnsi="Cambria Math" w:cs="Arial"/>
                </w:rPr>
                <m:t xml:space="preserve"> </m:t>
              </m:r>
              <m:r>
                <w:rPr>
                  <w:rFonts w:ascii="Cambria Math" w:hAnsi="Cambria Math" w:cs="Arial"/>
                </w:rPr>
                <m:t>years in year t</m:t>
              </m:r>
            </m:den>
          </m:f>
          <m:r>
            <w:rPr>
              <w:rFonts w:ascii="Cambria Math" w:eastAsiaTheme="minorEastAsia" w:hAnsi="Cambria Math" w:cs="Arial"/>
            </w:rPr>
            <m:t xml:space="preserve"> x 100</m:t>
          </m:r>
        </m:oMath>
      </m:oMathPara>
    </w:p>
    <w:p w14:paraId="4CFCF029" w14:textId="012D3FF7" w:rsidR="00405160" w:rsidRPr="00382EFC" w:rsidRDefault="00405160" w:rsidP="00382EFC">
      <w:pPr>
        <w:pStyle w:val="ListParagraph"/>
        <w:spacing w:after="0" w:line="360" w:lineRule="auto"/>
        <w:ind w:left="1224"/>
        <w:contextualSpacing w:val="0"/>
        <w:jc w:val="both"/>
        <w:rPr>
          <w:rFonts w:ascii="Arial" w:hAnsi="Arial" w:cs="Arial"/>
          <w:b/>
          <w:i/>
        </w:rPr>
      </w:pPr>
    </w:p>
    <w:p w14:paraId="19476633" w14:textId="412BBDBF" w:rsidR="00B3010F" w:rsidRPr="00054DD1" w:rsidRDefault="00055352" w:rsidP="00054DD1">
      <w:pPr>
        <w:pStyle w:val="ListParagraph"/>
        <w:numPr>
          <w:ilvl w:val="2"/>
          <w:numId w:val="22"/>
        </w:numPr>
        <w:spacing w:after="160" w:line="360" w:lineRule="auto"/>
        <w:ind w:left="1843" w:hanging="709"/>
        <w:contextualSpacing w:val="0"/>
        <w:jc w:val="both"/>
        <w:rPr>
          <w:rFonts w:ascii="Arial" w:hAnsi="Arial" w:cs="Arial"/>
          <w:b/>
          <w:i/>
        </w:rPr>
      </w:pPr>
      <w:r w:rsidRPr="00382EFC">
        <w:rPr>
          <w:rFonts w:ascii="Arial" w:hAnsi="Arial" w:cs="Arial"/>
          <w:b/>
          <w:i/>
        </w:rPr>
        <w:t>You</w:t>
      </w:r>
      <w:r w:rsidR="00A9554E" w:rsidRPr="00382EFC">
        <w:rPr>
          <w:rFonts w:ascii="Arial" w:hAnsi="Arial" w:cs="Arial"/>
          <w:b/>
          <w:i/>
        </w:rPr>
        <w:t>ng</w:t>
      </w:r>
      <w:r w:rsidRPr="00382EFC">
        <w:rPr>
          <w:rFonts w:ascii="Arial" w:hAnsi="Arial" w:cs="Arial"/>
          <w:b/>
          <w:i/>
        </w:rPr>
        <w:t xml:space="preserve"> dependency ratio</w:t>
      </w:r>
    </w:p>
    <w:p w14:paraId="166E11BF" w14:textId="473716ED" w:rsidR="00055352" w:rsidRDefault="00055352" w:rsidP="009F2E9F">
      <w:pPr>
        <w:pStyle w:val="ListParagraph"/>
        <w:spacing w:after="0" w:line="360" w:lineRule="auto"/>
        <w:ind w:left="1843"/>
        <w:contextualSpacing w:val="0"/>
        <w:jc w:val="both"/>
        <w:rPr>
          <w:rFonts w:ascii="Arial" w:eastAsia="Calibri" w:hAnsi="Arial" w:cs="Arial"/>
          <w:i/>
        </w:rPr>
      </w:pPr>
      <w:r w:rsidRPr="00382EFC">
        <w:rPr>
          <w:rFonts w:ascii="Arial" w:eastAsia="Calibri" w:hAnsi="Arial" w:cs="Arial"/>
          <w:i/>
        </w:rPr>
        <w:t>The you</w:t>
      </w:r>
      <w:r w:rsidR="00A9554E" w:rsidRPr="00382EFC">
        <w:rPr>
          <w:rFonts w:ascii="Arial" w:eastAsia="Calibri" w:hAnsi="Arial" w:cs="Arial"/>
          <w:i/>
        </w:rPr>
        <w:t>ng</w:t>
      </w:r>
      <w:r w:rsidRPr="00382EFC">
        <w:rPr>
          <w:rFonts w:ascii="Arial" w:eastAsia="Calibri" w:hAnsi="Arial" w:cs="Arial"/>
          <w:i/>
        </w:rPr>
        <w:t xml:space="preserve"> dependency ratio is the number of </w:t>
      </w:r>
      <w:r w:rsidR="001D32AD" w:rsidRPr="00382EFC">
        <w:rPr>
          <w:rFonts w:ascii="Arial" w:eastAsia="Calibri" w:hAnsi="Arial" w:cs="Arial"/>
          <w:i/>
        </w:rPr>
        <w:t>Non-citizens</w:t>
      </w:r>
      <w:r w:rsidRPr="00382EFC">
        <w:rPr>
          <w:rFonts w:ascii="Arial" w:eastAsia="Calibri" w:hAnsi="Arial" w:cs="Arial"/>
          <w:i/>
        </w:rPr>
        <w:t xml:space="preserve"> 0-14 years per one hundred </w:t>
      </w:r>
      <w:r w:rsidR="001D32AD" w:rsidRPr="00382EFC">
        <w:rPr>
          <w:rFonts w:ascii="Arial" w:eastAsia="Calibri" w:hAnsi="Arial" w:cs="Arial"/>
          <w:i/>
        </w:rPr>
        <w:t>Non-citizens</w:t>
      </w:r>
      <w:r w:rsidRPr="00382EFC">
        <w:rPr>
          <w:rFonts w:ascii="Arial" w:eastAsia="Calibri" w:hAnsi="Arial" w:cs="Arial"/>
          <w:i/>
        </w:rPr>
        <w:t xml:space="preserve"> 15</w:t>
      </w:r>
      <w:r w:rsidR="00790677">
        <w:rPr>
          <w:rFonts w:ascii="Arial" w:eastAsia="Calibri" w:hAnsi="Arial" w:cs="Arial"/>
          <w:i/>
        </w:rPr>
        <w:t>-</w:t>
      </w:r>
      <w:r w:rsidRPr="00382EFC">
        <w:rPr>
          <w:rFonts w:ascii="Arial" w:eastAsia="Calibri" w:hAnsi="Arial" w:cs="Arial"/>
          <w:i/>
        </w:rPr>
        <w:t>64 years.</w:t>
      </w:r>
    </w:p>
    <w:p w14:paraId="277755F2" w14:textId="77777777" w:rsidR="007A52E6" w:rsidRPr="00382EFC" w:rsidRDefault="007A52E6" w:rsidP="009F2E9F">
      <w:pPr>
        <w:pStyle w:val="ListParagraph"/>
        <w:spacing w:after="0" w:line="360" w:lineRule="auto"/>
        <w:ind w:left="1843"/>
        <w:contextualSpacing w:val="0"/>
        <w:jc w:val="both"/>
        <w:rPr>
          <w:rFonts w:ascii="Arial" w:hAnsi="Arial" w:cs="Arial"/>
          <w:b/>
          <w:i/>
        </w:rPr>
      </w:pPr>
    </w:p>
    <w:p w14:paraId="11F357EB" w14:textId="77777777" w:rsidR="007A52E6" w:rsidRPr="007A52E6" w:rsidRDefault="007A52E6" w:rsidP="007A52E6">
      <w:pPr>
        <w:spacing w:after="0" w:line="360" w:lineRule="auto"/>
        <w:jc w:val="both"/>
        <w:rPr>
          <w:rFonts w:ascii="Arial" w:eastAsiaTheme="minorEastAsia" w:hAnsi="Arial" w:cs="Arial"/>
          <w:b/>
          <w:i/>
        </w:rPr>
      </w:pPr>
      <m:oMathPara>
        <m:oMath>
          <m:r>
            <m:rPr>
              <m:sty m:val="bi"/>
            </m:rPr>
            <w:rPr>
              <w:rFonts w:ascii="Cambria Math" w:hAnsi="Cambria Math" w:cs="Arial"/>
            </w:rPr>
            <m:t xml:space="preserve"> Young dependency ratio</m:t>
          </m:r>
        </m:oMath>
      </m:oMathPara>
    </w:p>
    <w:p w14:paraId="5FF75D47" w14:textId="35AD0F54" w:rsidR="00755A91" w:rsidRDefault="007A52E6" w:rsidP="00382EFC">
      <w:pPr>
        <w:pStyle w:val="ListParagraph"/>
        <w:spacing w:after="0" w:line="360" w:lineRule="auto"/>
        <w:ind w:left="1224"/>
        <w:contextualSpacing w:val="0"/>
        <w:jc w:val="both"/>
        <w:rPr>
          <w:rFonts w:ascii="Arial" w:eastAsiaTheme="minorEastAsia" w:hAnsi="Arial" w:cs="Arial"/>
          <w:i/>
        </w:rPr>
      </w:pPr>
      <m:oMathPara>
        <m:oMath>
          <m:r>
            <w:rPr>
              <w:rFonts w:ascii="Cambria Math" w:hAnsi="Cambria Math" w:cs="Arial"/>
            </w:rPr>
            <m:t>=</m:t>
          </m:r>
          <m:f>
            <m:fPr>
              <m:ctrlPr>
                <w:rPr>
                  <w:rFonts w:ascii="Cambria Math" w:hAnsi="Cambria Math" w:cs="Arial"/>
                  <w:i/>
                </w:rPr>
              </m:ctrlPr>
            </m:fPr>
            <m:num>
              <m:r>
                <w:rPr>
                  <w:rFonts w:ascii="Cambria Math" w:hAnsi="Cambria Math" w:cs="Arial"/>
                </w:rPr>
                <m:t xml:space="preserve">Number of </m:t>
              </m:r>
              <m:r>
                <m:rPr>
                  <m:nor/>
                </m:rPr>
                <w:rPr>
                  <w:rFonts w:ascii="Arial" w:hAnsi="Arial" w:cs="Arial"/>
                  <w:i/>
                </w:rPr>
                <m:t>Non-citizens</m:t>
              </m:r>
              <m:r>
                <w:rPr>
                  <w:rFonts w:ascii="Cambria Math" w:hAnsi="Cambria Math" w:cs="Arial"/>
                </w:rPr>
                <m:t xml:space="preserve"> aged below 15 years in year t</m:t>
              </m:r>
            </m:num>
            <m:den>
              <m:r>
                <m:rPr>
                  <m:nor/>
                </m:rPr>
                <w:rPr>
                  <w:rFonts w:ascii="Arial" w:hAnsi="Arial" w:cs="Arial"/>
                  <w:i/>
                </w:rPr>
                <m:t>Number of Non-citizens aged 15-64 years in year t</m:t>
              </m:r>
            </m:den>
          </m:f>
          <m:r>
            <m:rPr>
              <m:nor/>
            </m:rPr>
            <w:rPr>
              <w:rFonts w:ascii="Arial" w:eastAsiaTheme="minorEastAsia" w:hAnsi="Arial" w:cs="Arial"/>
              <w:i/>
            </w:rPr>
            <m:t xml:space="preserve"> x 100</m:t>
          </m:r>
        </m:oMath>
      </m:oMathPara>
    </w:p>
    <w:p w14:paraId="153847C4" w14:textId="4625DB40" w:rsidR="007A52E6" w:rsidRDefault="007A52E6" w:rsidP="00382EFC">
      <w:pPr>
        <w:pStyle w:val="ListParagraph"/>
        <w:spacing w:after="0" w:line="360" w:lineRule="auto"/>
        <w:ind w:left="1224"/>
        <w:contextualSpacing w:val="0"/>
        <w:jc w:val="both"/>
        <w:rPr>
          <w:rFonts w:ascii="Arial" w:eastAsiaTheme="minorEastAsia" w:hAnsi="Arial" w:cs="Arial"/>
          <w:i/>
        </w:rPr>
      </w:pPr>
    </w:p>
    <w:p w14:paraId="6634D3B3" w14:textId="77777777" w:rsidR="007A52E6" w:rsidRPr="00755A91" w:rsidRDefault="007A52E6" w:rsidP="00382EFC">
      <w:pPr>
        <w:pStyle w:val="ListParagraph"/>
        <w:spacing w:after="0" w:line="360" w:lineRule="auto"/>
        <w:ind w:left="1224"/>
        <w:contextualSpacing w:val="0"/>
        <w:jc w:val="both"/>
        <w:rPr>
          <w:rFonts w:ascii="Arial" w:eastAsiaTheme="minorEastAsia" w:hAnsi="Arial" w:cs="Arial"/>
          <w:i/>
        </w:rPr>
      </w:pPr>
    </w:p>
    <w:p w14:paraId="21A53FEC" w14:textId="1279099C" w:rsidR="00862452" w:rsidRPr="00054DD1" w:rsidRDefault="00055352" w:rsidP="00054DD1">
      <w:pPr>
        <w:pStyle w:val="ListParagraph"/>
        <w:numPr>
          <w:ilvl w:val="2"/>
          <w:numId w:val="22"/>
        </w:numPr>
        <w:spacing w:after="160" w:line="360" w:lineRule="auto"/>
        <w:ind w:left="1843" w:hanging="709"/>
        <w:contextualSpacing w:val="0"/>
        <w:jc w:val="both"/>
        <w:rPr>
          <w:rFonts w:ascii="Arial" w:hAnsi="Arial" w:cs="Arial"/>
          <w:b/>
          <w:i/>
        </w:rPr>
      </w:pPr>
      <w:r w:rsidRPr="00382EFC">
        <w:rPr>
          <w:rFonts w:ascii="Arial" w:hAnsi="Arial" w:cs="Arial"/>
          <w:b/>
          <w:i/>
        </w:rPr>
        <w:t>Old-age dependency ratio</w:t>
      </w:r>
    </w:p>
    <w:p w14:paraId="77450842" w14:textId="5B226B18" w:rsidR="00055352" w:rsidRPr="00382EFC" w:rsidRDefault="00055352" w:rsidP="009F2E9F">
      <w:pPr>
        <w:pStyle w:val="ListParagraph"/>
        <w:spacing w:after="0" w:line="360" w:lineRule="auto"/>
        <w:ind w:left="1843"/>
        <w:contextualSpacing w:val="0"/>
        <w:jc w:val="both"/>
        <w:rPr>
          <w:rFonts w:ascii="Arial" w:hAnsi="Arial" w:cs="Arial"/>
          <w:b/>
          <w:i/>
        </w:rPr>
      </w:pPr>
      <w:r w:rsidRPr="00382EFC">
        <w:rPr>
          <w:rFonts w:ascii="Arial" w:eastAsia="Calibri" w:hAnsi="Arial" w:cs="Arial"/>
          <w:i/>
        </w:rPr>
        <w:t xml:space="preserve">The old-age dependency ratio is the number of </w:t>
      </w:r>
      <w:r w:rsidR="001D32AD" w:rsidRPr="00382EFC">
        <w:rPr>
          <w:rFonts w:ascii="Arial" w:eastAsia="Calibri" w:hAnsi="Arial" w:cs="Arial"/>
          <w:i/>
        </w:rPr>
        <w:t>Non-citizens</w:t>
      </w:r>
      <w:r w:rsidRPr="00382EFC">
        <w:rPr>
          <w:rFonts w:ascii="Arial" w:eastAsia="Calibri" w:hAnsi="Arial" w:cs="Arial"/>
          <w:i/>
        </w:rPr>
        <w:t xml:space="preserve"> 65 years and </w:t>
      </w:r>
      <w:r w:rsidR="004230C6" w:rsidRPr="00382EFC">
        <w:rPr>
          <w:rFonts w:ascii="Arial" w:eastAsia="Calibri" w:hAnsi="Arial" w:cs="Arial"/>
          <w:i/>
        </w:rPr>
        <w:t>above</w:t>
      </w:r>
      <w:r w:rsidRPr="00382EFC">
        <w:rPr>
          <w:rFonts w:ascii="Arial" w:eastAsia="Calibri" w:hAnsi="Arial" w:cs="Arial"/>
          <w:i/>
        </w:rPr>
        <w:t xml:space="preserve"> per one</w:t>
      </w:r>
      <w:r w:rsidR="006665EE" w:rsidRPr="00382EFC">
        <w:rPr>
          <w:rFonts w:ascii="Arial" w:eastAsia="Calibri" w:hAnsi="Arial" w:cs="Arial"/>
          <w:i/>
        </w:rPr>
        <w:t xml:space="preserve"> hundred </w:t>
      </w:r>
      <w:r w:rsidR="001D32AD" w:rsidRPr="00382EFC">
        <w:rPr>
          <w:rFonts w:ascii="Arial" w:eastAsia="Calibri" w:hAnsi="Arial" w:cs="Arial"/>
          <w:i/>
        </w:rPr>
        <w:t xml:space="preserve">Non-citizens </w:t>
      </w:r>
      <w:r w:rsidR="006665EE" w:rsidRPr="00382EFC">
        <w:rPr>
          <w:rFonts w:ascii="Arial" w:eastAsia="Calibri" w:hAnsi="Arial" w:cs="Arial"/>
          <w:i/>
        </w:rPr>
        <w:t>15</w:t>
      </w:r>
      <w:r w:rsidR="00790677">
        <w:rPr>
          <w:rFonts w:ascii="Arial" w:eastAsia="Calibri" w:hAnsi="Arial" w:cs="Arial"/>
          <w:i/>
        </w:rPr>
        <w:t>-</w:t>
      </w:r>
      <w:r w:rsidR="006665EE" w:rsidRPr="00382EFC">
        <w:rPr>
          <w:rFonts w:ascii="Arial" w:eastAsia="Calibri" w:hAnsi="Arial" w:cs="Arial"/>
          <w:i/>
        </w:rPr>
        <w:t>64 years</w:t>
      </w:r>
      <w:r w:rsidRPr="00382EFC">
        <w:rPr>
          <w:rFonts w:ascii="Arial" w:eastAsia="Calibri" w:hAnsi="Arial" w:cs="Arial"/>
          <w:i/>
        </w:rPr>
        <w:t>.</w:t>
      </w:r>
    </w:p>
    <w:p w14:paraId="2E5ACD14" w14:textId="193BAB7C" w:rsidR="00055352" w:rsidRPr="00382EFC" w:rsidRDefault="00055352" w:rsidP="00054DD1">
      <w:pPr>
        <w:pStyle w:val="ListParagraph"/>
        <w:spacing w:after="0"/>
        <w:ind w:left="1276"/>
        <w:contextualSpacing w:val="0"/>
        <w:jc w:val="both"/>
        <w:rPr>
          <w:rFonts w:ascii="Arial" w:eastAsiaTheme="minorEastAsia" w:hAnsi="Arial" w:cs="Arial"/>
          <w:b/>
          <w:i/>
        </w:rPr>
      </w:pPr>
    </w:p>
    <w:p w14:paraId="6C7A50E7" w14:textId="034907FD" w:rsidR="00055352" w:rsidRPr="00382EFC" w:rsidRDefault="009F2E9F" w:rsidP="009F2E9F">
      <w:pPr>
        <w:pStyle w:val="ListParagraph"/>
        <w:spacing w:after="0" w:line="360" w:lineRule="auto"/>
        <w:ind w:left="1080"/>
        <w:contextualSpacing w:val="0"/>
        <w:jc w:val="both"/>
        <w:rPr>
          <w:rFonts w:ascii="Arial" w:hAnsi="Arial" w:cs="Arial"/>
          <w:b/>
          <w:bCs/>
          <w:i/>
        </w:rPr>
      </w:pPr>
      <m:oMathPara>
        <m:oMath>
          <m:r>
            <m:rPr>
              <m:sty m:val="bi"/>
            </m:rPr>
            <w:rPr>
              <w:rFonts w:ascii="Cambria Math" w:hAnsi="Cambria Math" w:cs="Arial"/>
            </w:rPr>
            <m:t xml:space="preserve">                             Old-age dependecy ratio</m:t>
          </m:r>
          <m:r>
            <w:rPr>
              <w:rFonts w:ascii="Cambria Math" w:hAnsi="Cambria Math" w:cs="Arial"/>
            </w:rPr>
            <m:t>=</m:t>
          </m:r>
          <m:f>
            <m:fPr>
              <m:ctrlPr>
                <w:rPr>
                  <w:rFonts w:ascii="Cambria Math" w:hAnsi="Cambria Math" w:cs="Arial"/>
                  <w:i/>
                </w:rPr>
              </m:ctrlPr>
            </m:fPr>
            <m:num>
              <m:r>
                <m:rPr>
                  <m:nor/>
                </m:rPr>
                <w:rPr>
                  <w:rFonts w:ascii="Arial" w:hAnsi="Arial" w:cs="Arial"/>
                  <w:i/>
                </w:rPr>
                <m:t>Number of Non-citizens aged 65 years and over in year t</m:t>
              </m:r>
            </m:num>
            <m:den>
              <m:r>
                <m:rPr>
                  <m:nor/>
                </m:rPr>
                <w:rPr>
                  <w:rFonts w:ascii="Arial" w:hAnsi="Arial" w:cs="Arial"/>
                  <w:i/>
                </w:rPr>
                <m:t>Number of Non-citizens aged 15-64 years in year t</m:t>
              </m:r>
            </m:den>
          </m:f>
          <m:r>
            <m:rPr>
              <m:nor/>
            </m:rPr>
            <w:rPr>
              <w:rFonts w:ascii="Arial" w:eastAsiaTheme="minorEastAsia" w:hAnsi="Arial" w:cs="Arial"/>
              <w:i/>
            </w:rPr>
            <m:t xml:space="preserve"> x 100</m:t>
          </m:r>
        </m:oMath>
      </m:oMathPara>
    </w:p>
    <w:p w14:paraId="0603E4E3" w14:textId="5E70996D" w:rsidR="00054DD1" w:rsidRDefault="00054DD1" w:rsidP="00054DD1">
      <w:pPr>
        <w:pStyle w:val="ListParagraph"/>
        <w:spacing w:after="160" w:line="360" w:lineRule="auto"/>
        <w:ind w:left="1134"/>
        <w:contextualSpacing w:val="0"/>
        <w:jc w:val="both"/>
        <w:rPr>
          <w:rFonts w:ascii="Arial" w:hAnsi="Arial" w:cs="Arial"/>
          <w:b/>
          <w:bCs/>
          <w:i/>
        </w:rPr>
      </w:pPr>
    </w:p>
    <w:p w14:paraId="20BAD6F2" w14:textId="3AD4CE6B" w:rsidR="00054DD1" w:rsidRDefault="00054DD1" w:rsidP="00054DD1">
      <w:pPr>
        <w:pStyle w:val="ListParagraph"/>
        <w:spacing w:after="160" w:line="360" w:lineRule="auto"/>
        <w:ind w:left="1134"/>
        <w:contextualSpacing w:val="0"/>
        <w:jc w:val="both"/>
        <w:rPr>
          <w:rFonts w:ascii="Arial" w:hAnsi="Arial" w:cs="Arial"/>
          <w:b/>
          <w:bCs/>
          <w:i/>
        </w:rPr>
      </w:pPr>
    </w:p>
    <w:p w14:paraId="10FFA3CF" w14:textId="77777777" w:rsidR="00054DD1" w:rsidRPr="00054DD1" w:rsidRDefault="00054DD1" w:rsidP="00054DD1">
      <w:pPr>
        <w:pStyle w:val="ListParagraph"/>
        <w:spacing w:after="160" w:line="360" w:lineRule="auto"/>
        <w:ind w:left="1134"/>
        <w:contextualSpacing w:val="0"/>
        <w:jc w:val="both"/>
        <w:rPr>
          <w:rFonts w:ascii="Arial" w:hAnsi="Arial" w:cs="Arial"/>
          <w:b/>
          <w:bCs/>
          <w:i/>
        </w:rPr>
      </w:pPr>
    </w:p>
    <w:p w14:paraId="7B2E3905" w14:textId="77D01D60" w:rsidR="0019571B" w:rsidRPr="00054DD1" w:rsidRDefault="00055352" w:rsidP="00054DD1">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t>Sex ratio</w:t>
      </w:r>
    </w:p>
    <w:p w14:paraId="353B54F9" w14:textId="485808C3" w:rsidR="00055352" w:rsidRPr="00382EFC" w:rsidRDefault="00055352" w:rsidP="009F2E9F">
      <w:pPr>
        <w:pStyle w:val="ListParagraph"/>
        <w:spacing w:after="0" w:line="360" w:lineRule="auto"/>
        <w:ind w:left="1134"/>
        <w:contextualSpacing w:val="0"/>
        <w:jc w:val="both"/>
        <w:rPr>
          <w:rFonts w:ascii="Arial" w:eastAsia="Calibri" w:hAnsi="Arial" w:cs="Arial"/>
          <w:i/>
        </w:rPr>
      </w:pPr>
      <w:r w:rsidRPr="00382EFC">
        <w:rPr>
          <w:rFonts w:ascii="Arial" w:eastAsia="Calibri" w:hAnsi="Arial" w:cs="Arial"/>
          <w:i/>
        </w:rPr>
        <w:t xml:space="preserve">The sex ratio is calculated as the number of males per </w:t>
      </w:r>
      <w:r w:rsidR="00F50DED" w:rsidRPr="00382EFC">
        <w:rPr>
          <w:rFonts w:ascii="Arial" w:eastAsia="Calibri" w:hAnsi="Arial" w:cs="Arial"/>
          <w:i/>
        </w:rPr>
        <w:t xml:space="preserve">100 </w:t>
      </w:r>
      <w:r w:rsidRPr="00382EFC">
        <w:rPr>
          <w:rFonts w:ascii="Arial" w:eastAsia="Calibri" w:hAnsi="Arial" w:cs="Arial"/>
          <w:i/>
        </w:rPr>
        <w:t>females.</w:t>
      </w:r>
    </w:p>
    <w:p w14:paraId="4037AAA0" w14:textId="77777777" w:rsidR="00791085" w:rsidRPr="00382EFC" w:rsidRDefault="00791085" w:rsidP="00054DD1">
      <w:pPr>
        <w:pStyle w:val="ListParagraph"/>
        <w:spacing w:after="0"/>
        <w:ind w:left="1170"/>
        <w:contextualSpacing w:val="0"/>
        <w:jc w:val="both"/>
        <w:rPr>
          <w:rFonts w:ascii="Arial" w:eastAsia="Calibri" w:hAnsi="Arial" w:cs="Arial"/>
          <w:i/>
        </w:rPr>
      </w:pPr>
    </w:p>
    <w:p w14:paraId="3299919F" w14:textId="502F04B1" w:rsidR="00055352" w:rsidRPr="00382EFC" w:rsidRDefault="00405160" w:rsidP="009F2E9F">
      <w:pPr>
        <w:pStyle w:val="ListParagraph"/>
        <w:spacing w:after="0" w:line="360" w:lineRule="auto"/>
        <w:ind w:left="1080"/>
        <w:contextualSpacing w:val="0"/>
        <w:jc w:val="both"/>
        <w:rPr>
          <w:rFonts w:ascii="Arial" w:hAnsi="Arial" w:cs="Arial"/>
          <w:i/>
        </w:rPr>
      </w:pPr>
      <m:oMathPara>
        <m:oMathParaPr>
          <m:jc m:val="left"/>
        </m:oMathParaPr>
        <m:oMath>
          <m:r>
            <m:rPr>
              <m:sty m:val="bi"/>
            </m:rPr>
            <w:rPr>
              <w:rFonts w:ascii="Cambria Math" w:hAnsi="Cambria Math" w:cs="Arial"/>
            </w:rPr>
            <m:t>Sex ratio</m:t>
          </m:r>
          <m:r>
            <w:rPr>
              <w:rFonts w:ascii="Cambria Math" w:hAnsi="Cambria Math" w:cs="Arial"/>
            </w:rPr>
            <m:t>=</m:t>
          </m:r>
          <m:f>
            <m:fPr>
              <m:ctrlPr>
                <w:rPr>
                  <w:rFonts w:ascii="Cambria Math" w:hAnsi="Cambria Math" w:cs="Arial"/>
                  <w:i/>
                </w:rPr>
              </m:ctrlPr>
            </m:fPr>
            <m:num>
              <m:r>
                <w:rPr>
                  <w:rFonts w:ascii="Cambria Math" w:hAnsi="Cambria Math" w:cs="Arial"/>
                </w:rPr>
                <m:t>Number of males in year t</m:t>
              </m:r>
            </m:num>
            <m:den>
              <m:r>
                <w:rPr>
                  <w:rFonts w:ascii="Cambria Math" w:hAnsi="Cambria Math" w:cs="Arial"/>
                </w:rPr>
                <m:t>Number of females in year t</m:t>
              </m:r>
            </m:den>
          </m:f>
          <m:r>
            <w:rPr>
              <w:rFonts w:ascii="Cambria Math" w:hAnsi="Cambria Math" w:cs="Arial"/>
            </w:rPr>
            <m:t xml:space="preserve"> x 100</m:t>
          </m:r>
        </m:oMath>
      </m:oMathPara>
    </w:p>
    <w:p w14:paraId="2E77A926" w14:textId="7F0964FE" w:rsidR="00F2243D" w:rsidRDefault="00F2243D" w:rsidP="00382EFC">
      <w:pPr>
        <w:spacing w:after="0" w:line="360" w:lineRule="auto"/>
        <w:jc w:val="both"/>
        <w:rPr>
          <w:rFonts w:ascii="Arial" w:eastAsiaTheme="minorEastAsia" w:hAnsi="Arial" w:cs="Arial"/>
          <w:i/>
        </w:rPr>
      </w:pPr>
    </w:p>
    <w:p w14:paraId="7B591602" w14:textId="4AE43BC4" w:rsidR="0019571B" w:rsidRPr="00054DD1" w:rsidRDefault="001D32AD" w:rsidP="00054DD1">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t xml:space="preserve">Live </w:t>
      </w:r>
      <w:r w:rsidR="00790677">
        <w:rPr>
          <w:rFonts w:ascii="Arial" w:hAnsi="Arial" w:cs="Arial"/>
          <w:b/>
          <w:i/>
        </w:rPr>
        <w:t>b</w:t>
      </w:r>
      <w:r w:rsidRPr="00382EFC">
        <w:rPr>
          <w:rFonts w:ascii="Arial" w:hAnsi="Arial" w:cs="Arial"/>
          <w:b/>
          <w:i/>
        </w:rPr>
        <w:t>irths</w:t>
      </w:r>
    </w:p>
    <w:p w14:paraId="414AD469" w14:textId="7CCBE5C5" w:rsidR="00055352" w:rsidRPr="00382EFC" w:rsidRDefault="001D32AD" w:rsidP="009F2E9F">
      <w:pPr>
        <w:pStyle w:val="ListParagraph"/>
        <w:spacing w:after="0" w:line="360" w:lineRule="auto"/>
        <w:ind w:left="1134"/>
        <w:contextualSpacing w:val="0"/>
        <w:jc w:val="both"/>
        <w:rPr>
          <w:rFonts w:ascii="Arial" w:hAnsi="Arial" w:cs="Arial"/>
          <w:i/>
        </w:rPr>
      </w:pPr>
      <w:r w:rsidRPr="009F2E9F">
        <w:rPr>
          <w:rFonts w:ascii="Arial" w:eastAsia="Calibri" w:hAnsi="Arial" w:cs="Arial"/>
          <w:i/>
        </w:rPr>
        <w:t>Refers</w:t>
      </w:r>
      <w:r w:rsidRPr="00382EFC">
        <w:rPr>
          <w:rFonts w:ascii="Arial" w:hAnsi="Arial" w:cs="Arial"/>
          <w:i/>
        </w:rPr>
        <w:t xml:space="preserve"> to births with signs of life during delivery although for a very short period</w:t>
      </w:r>
      <w:r w:rsidR="00790677">
        <w:rPr>
          <w:rFonts w:ascii="Arial" w:hAnsi="Arial" w:cs="Arial"/>
          <w:i/>
        </w:rPr>
        <w:t>.</w:t>
      </w:r>
    </w:p>
    <w:p w14:paraId="6EC38620" w14:textId="77777777" w:rsidR="006A7DBF" w:rsidRPr="00382EFC" w:rsidRDefault="006A7DBF" w:rsidP="00382EFC">
      <w:pPr>
        <w:pStyle w:val="ListParagraph"/>
        <w:spacing w:after="0" w:line="360" w:lineRule="auto"/>
        <w:ind w:left="1170"/>
        <w:contextualSpacing w:val="0"/>
        <w:jc w:val="both"/>
        <w:rPr>
          <w:rFonts w:ascii="Arial" w:hAnsi="Arial" w:cs="Arial"/>
          <w:i/>
        </w:rPr>
      </w:pPr>
    </w:p>
    <w:p w14:paraId="71E1CE2B" w14:textId="47ADF185" w:rsidR="0019571B" w:rsidRPr="00054DD1" w:rsidRDefault="00055352" w:rsidP="00054DD1">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t>Life expectancy</w:t>
      </w:r>
    </w:p>
    <w:p w14:paraId="3BACD55D" w14:textId="03F524F0" w:rsidR="00A33B41" w:rsidRPr="00382EFC" w:rsidRDefault="00055352" w:rsidP="009F2E9F">
      <w:pPr>
        <w:pStyle w:val="ListParagraph"/>
        <w:spacing w:after="0" w:line="360" w:lineRule="auto"/>
        <w:ind w:left="1134"/>
        <w:contextualSpacing w:val="0"/>
        <w:jc w:val="both"/>
        <w:rPr>
          <w:rFonts w:ascii="Arial" w:hAnsi="Arial" w:cs="Arial"/>
          <w:i/>
        </w:rPr>
      </w:pPr>
      <w:r w:rsidRPr="00382EFC">
        <w:rPr>
          <w:rFonts w:ascii="Arial" w:hAnsi="Arial" w:cs="Arial"/>
          <w:i/>
        </w:rPr>
        <w:t>Life expectancy is the average remaining age (years) for a person is expected to live at the beginning of the certain age</w:t>
      </w:r>
      <w:r w:rsidR="008A5984" w:rsidRPr="00382EFC">
        <w:rPr>
          <w:rFonts w:ascii="Arial" w:hAnsi="Arial" w:cs="Arial"/>
          <w:i/>
        </w:rPr>
        <w:t xml:space="preserve"> if the age-specific death rates of the given period continued throughout his or her lifetime.</w:t>
      </w:r>
    </w:p>
    <w:p w14:paraId="2E6258ED" w14:textId="5E5F7541" w:rsidR="00ED3A66" w:rsidRPr="00382EFC" w:rsidRDefault="00ED3A66" w:rsidP="00382EFC">
      <w:pPr>
        <w:spacing w:after="0" w:line="360" w:lineRule="auto"/>
        <w:rPr>
          <w:rFonts w:ascii="Arial" w:hAnsi="Arial" w:cs="Arial"/>
          <w:b/>
          <w:bCs/>
          <w:i/>
          <w:lang w:val="en-US"/>
        </w:rPr>
      </w:pPr>
    </w:p>
    <w:p w14:paraId="2485E56F" w14:textId="54063764" w:rsidR="0019571B" w:rsidRPr="00054DD1" w:rsidRDefault="001D32AD" w:rsidP="00054DD1">
      <w:pPr>
        <w:pStyle w:val="ListParagraph"/>
        <w:numPr>
          <w:ilvl w:val="1"/>
          <w:numId w:val="22"/>
        </w:numPr>
        <w:spacing w:after="160" w:line="360" w:lineRule="auto"/>
        <w:ind w:left="1134" w:hanging="567"/>
        <w:contextualSpacing w:val="0"/>
        <w:jc w:val="both"/>
        <w:rPr>
          <w:rFonts w:ascii="Arial" w:hAnsi="Arial" w:cs="Arial"/>
          <w:b/>
          <w:bCs/>
          <w:i/>
        </w:rPr>
      </w:pPr>
      <w:r w:rsidRPr="00382EFC">
        <w:rPr>
          <w:rFonts w:ascii="Arial" w:hAnsi="Arial" w:cs="Arial"/>
          <w:b/>
          <w:i/>
        </w:rPr>
        <w:t>International migrant</w:t>
      </w:r>
    </w:p>
    <w:p w14:paraId="45C3801C" w14:textId="1CB1BFE5" w:rsidR="00A96B5A" w:rsidRPr="00382EFC" w:rsidRDefault="001D32AD" w:rsidP="009F2E9F">
      <w:pPr>
        <w:pStyle w:val="ListParagraph"/>
        <w:spacing w:after="0" w:line="360" w:lineRule="auto"/>
        <w:ind w:left="1134"/>
        <w:contextualSpacing w:val="0"/>
        <w:jc w:val="both"/>
        <w:rPr>
          <w:rFonts w:ascii="Arial" w:hAnsi="Arial" w:cs="Arial"/>
          <w:bCs/>
          <w:i/>
        </w:rPr>
      </w:pPr>
      <w:r w:rsidRPr="009F2E9F">
        <w:rPr>
          <w:rFonts w:ascii="Arial" w:hAnsi="Arial" w:cs="Arial"/>
          <w:i/>
        </w:rPr>
        <w:t>International</w:t>
      </w:r>
      <w:r w:rsidRPr="00382EFC">
        <w:rPr>
          <w:rFonts w:ascii="Arial" w:hAnsi="Arial" w:cs="Arial"/>
          <w:bCs/>
          <w:i/>
        </w:rPr>
        <w:t xml:space="preserve"> migrant is a person who has changed his or her country of residence and established new residence in the country within a given year. International migrant can be either ‘immigrant’ or ‘emigrant’ and include those with national or foreign citizenships or stateless persons.</w:t>
      </w:r>
    </w:p>
    <w:p w14:paraId="6A1B6378" w14:textId="77777777" w:rsidR="00ED3A66" w:rsidRPr="00382EFC" w:rsidRDefault="00ED3A66" w:rsidP="00382EFC">
      <w:pPr>
        <w:spacing w:after="0" w:line="360" w:lineRule="auto"/>
        <w:ind w:left="1170"/>
        <w:jc w:val="both"/>
        <w:rPr>
          <w:rFonts w:ascii="Arial" w:hAnsi="Arial" w:cs="Arial"/>
          <w:bCs/>
          <w:i/>
        </w:rPr>
      </w:pPr>
    </w:p>
    <w:p w14:paraId="3006F58C" w14:textId="16512B6A" w:rsidR="00ED3A66" w:rsidRPr="00054DD1" w:rsidRDefault="00ED3A66" w:rsidP="00054DD1">
      <w:pPr>
        <w:pStyle w:val="ListParagraph"/>
        <w:numPr>
          <w:ilvl w:val="1"/>
          <w:numId w:val="22"/>
        </w:numPr>
        <w:spacing w:after="160" w:line="360" w:lineRule="auto"/>
        <w:ind w:left="1134" w:hanging="567"/>
        <w:contextualSpacing w:val="0"/>
        <w:jc w:val="both"/>
        <w:rPr>
          <w:rFonts w:ascii="Arial" w:hAnsi="Arial" w:cs="Arial"/>
          <w:bCs/>
          <w:i/>
        </w:rPr>
      </w:pPr>
      <w:r w:rsidRPr="009F2E9F">
        <w:rPr>
          <w:rFonts w:ascii="Arial" w:hAnsi="Arial" w:cs="Arial"/>
          <w:b/>
          <w:i/>
        </w:rPr>
        <w:t>Immigrant</w:t>
      </w:r>
      <w:r w:rsidRPr="00382EFC">
        <w:rPr>
          <w:rFonts w:ascii="Arial" w:hAnsi="Arial" w:cs="Arial"/>
          <w:b/>
          <w:bCs/>
          <w:i/>
        </w:rPr>
        <w:t xml:space="preserve"> </w:t>
      </w:r>
      <w:r w:rsidR="009D0926">
        <w:rPr>
          <w:rFonts w:ascii="Arial" w:hAnsi="Arial" w:cs="Arial"/>
          <w:b/>
          <w:bCs/>
          <w:i/>
        </w:rPr>
        <w:t>(</w:t>
      </w:r>
      <w:r w:rsidRPr="00382EFC">
        <w:rPr>
          <w:rFonts w:ascii="Arial" w:hAnsi="Arial" w:cs="Arial"/>
          <w:b/>
          <w:bCs/>
          <w:i/>
        </w:rPr>
        <w:t>stock</w:t>
      </w:r>
      <w:r w:rsidR="009D0926">
        <w:rPr>
          <w:rFonts w:ascii="Arial" w:hAnsi="Arial" w:cs="Arial"/>
          <w:bCs/>
          <w:i/>
        </w:rPr>
        <w:t>)</w:t>
      </w:r>
    </w:p>
    <w:p w14:paraId="52A96542" w14:textId="5F730807" w:rsidR="00ED3A66" w:rsidRPr="00382EFC" w:rsidRDefault="00ED3A66" w:rsidP="009F2E9F">
      <w:pPr>
        <w:pStyle w:val="ListParagraph"/>
        <w:spacing w:after="0" w:line="360" w:lineRule="auto"/>
        <w:ind w:left="1134"/>
        <w:contextualSpacing w:val="0"/>
        <w:jc w:val="both"/>
        <w:rPr>
          <w:rFonts w:ascii="Arial" w:hAnsi="Arial" w:cs="Arial"/>
          <w:bCs/>
          <w:i/>
        </w:rPr>
      </w:pPr>
      <w:r w:rsidRPr="00382EFC">
        <w:rPr>
          <w:rFonts w:ascii="Arial" w:hAnsi="Arial" w:cs="Arial"/>
          <w:bCs/>
          <w:i/>
        </w:rPr>
        <w:t xml:space="preserve">Immigrant </w:t>
      </w:r>
      <w:r w:rsidR="009D0926">
        <w:rPr>
          <w:rFonts w:ascii="Arial" w:hAnsi="Arial" w:cs="Arial"/>
          <w:bCs/>
          <w:i/>
        </w:rPr>
        <w:t>(</w:t>
      </w:r>
      <w:r w:rsidRPr="00382EFC">
        <w:rPr>
          <w:rFonts w:ascii="Arial" w:hAnsi="Arial" w:cs="Arial"/>
          <w:bCs/>
          <w:i/>
        </w:rPr>
        <w:t>stock</w:t>
      </w:r>
      <w:r w:rsidR="009D0926">
        <w:rPr>
          <w:rFonts w:ascii="Arial" w:hAnsi="Arial" w:cs="Arial"/>
          <w:bCs/>
          <w:i/>
        </w:rPr>
        <w:t>)</w:t>
      </w:r>
      <w:r w:rsidRPr="00382EFC">
        <w:rPr>
          <w:rFonts w:ascii="Arial" w:hAnsi="Arial" w:cs="Arial"/>
          <w:bCs/>
          <w:i/>
        </w:rPr>
        <w:t xml:space="preserve"> includes all persons who reside in the country who are either born in another country or who do not hold national citizenship including stateless persons, at a given point in time. Persons who are born in the country and have national citizenship are not considered part of the immigrant population, although they can be considered immigrants or part of the immigration flow if they returned and changed their country of residence.</w:t>
      </w:r>
    </w:p>
    <w:p w14:paraId="0FD783F5" w14:textId="59EDF830" w:rsidR="00ED3A66" w:rsidRPr="00382EFC" w:rsidRDefault="00ED3A66" w:rsidP="00382EFC">
      <w:pPr>
        <w:spacing w:after="0" w:line="360" w:lineRule="auto"/>
        <w:ind w:left="708"/>
        <w:jc w:val="both"/>
        <w:rPr>
          <w:rFonts w:ascii="Arial" w:hAnsi="Arial" w:cs="Arial"/>
          <w:bCs/>
          <w:i/>
        </w:rPr>
      </w:pPr>
    </w:p>
    <w:p w14:paraId="0E9B15B3" w14:textId="3D4A971F" w:rsidR="00ED3A66" w:rsidRPr="00054DD1" w:rsidRDefault="00ED3A66" w:rsidP="00054DD1">
      <w:pPr>
        <w:pStyle w:val="ListParagraph"/>
        <w:numPr>
          <w:ilvl w:val="1"/>
          <w:numId w:val="22"/>
        </w:numPr>
        <w:spacing w:after="160" w:line="360" w:lineRule="auto"/>
        <w:ind w:left="1134" w:hanging="567"/>
        <w:contextualSpacing w:val="0"/>
        <w:jc w:val="both"/>
        <w:rPr>
          <w:rFonts w:ascii="Arial" w:hAnsi="Arial" w:cs="Arial"/>
          <w:b/>
          <w:bCs/>
          <w:i/>
        </w:rPr>
      </w:pPr>
      <w:r w:rsidRPr="009F2E9F">
        <w:rPr>
          <w:rFonts w:ascii="Arial" w:hAnsi="Arial" w:cs="Arial"/>
          <w:b/>
          <w:i/>
        </w:rPr>
        <w:t>Emigrant</w:t>
      </w:r>
      <w:r w:rsidRPr="00382EFC">
        <w:rPr>
          <w:rFonts w:ascii="Arial" w:hAnsi="Arial" w:cs="Arial"/>
          <w:b/>
          <w:bCs/>
          <w:i/>
        </w:rPr>
        <w:t xml:space="preserve"> </w:t>
      </w:r>
      <w:r w:rsidR="009D0926">
        <w:rPr>
          <w:rFonts w:ascii="Arial" w:hAnsi="Arial" w:cs="Arial"/>
          <w:b/>
          <w:bCs/>
          <w:i/>
        </w:rPr>
        <w:t>(</w:t>
      </w:r>
      <w:r w:rsidRPr="00382EFC">
        <w:rPr>
          <w:rFonts w:ascii="Arial" w:hAnsi="Arial" w:cs="Arial"/>
          <w:b/>
          <w:bCs/>
          <w:i/>
        </w:rPr>
        <w:t>stock</w:t>
      </w:r>
      <w:r w:rsidR="009D0926">
        <w:rPr>
          <w:rFonts w:ascii="Arial" w:hAnsi="Arial" w:cs="Arial"/>
          <w:b/>
          <w:bCs/>
          <w:i/>
        </w:rPr>
        <w:t>)</w:t>
      </w:r>
    </w:p>
    <w:p w14:paraId="19572D65" w14:textId="5E862401" w:rsidR="00ED3A66" w:rsidRPr="00382EFC" w:rsidRDefault="00ED3A66" w:rsidP="009F2E9F">
      <w:pPr>
        <w:pStyle w:val="ListParagraph"/>
        <w:spacing w:after="0" w:line="360" w:lineRule="auto"/>
        <w:ind w:left="1134"/>
        <w:contextualSpacing w:val="0"/>
        <w:jc w:val="both"/>
        <w:rPr>
          <w:rFonts w:ascii="Arial" w:hAnsi="Arial" w:cs="Arial"/>
          <w:bCs/>
          <w:i/>
        </w:rPr>
      </w:pPr>
      <w:r w:rsidRPr="00382EFC">
        <w:rPr>
          <w:rFonts w:ascii="Arial" w:hAnsi="Arial" w:cs="Arial"/>
          <w:bCs/>
          <w:i/>
        </w:rPr>
        <w:t xml:space="preserve">Emigrant </w:t>
      </w:r>
      <w:r w:rsidR="009D0926">
        <w:rPr>
          <w:rFonts w:ascii="Arial" w:hAnsi="Arial" w:cs="Arial"/>
          <w:bCs/>
          <w:i/>
        </w:rPr>
        <w:t>(</w:t>
      </w:r>
      <w:r w:rsidRPr="00382EFC">
        <w:rPr>
          <w:rFonts w:ascii="Arial" w:hAnsi="Arial" w:cs="Arial"/>
          <w:bCs/>
          <w:i/>
        </w:rPr>
        <w:t>stock</w:t>
      </w:r>
      <w:r w:rsidR="009D0926">
        <w:rPr>
          <w:rFonts w:ascii="Arial" w:hAnsi="Arial" w:cs="Arial"/>
          <w:bCs/>
          <w:i/>
        </w:rPr>
        <w:t>)</w:t>
      </w:r>
      <w:r w:rsidRPr="00382EFC">
        <w:rPr>
          <w:rFonts w:ascii="Arial" w:hAnsi="Arial" w:cs="Arial"/>
          <w:bCs/>
          <w:i/>
        </w:rPr>
        <w:t xml:space="preserve"> includes all national citizens or persons who were born in the country and are residing in another country at a given point in time.</w:t>
      </w:r>
    </w:p>
    <w:p w14:paraId="348804E2" w14:textId="4C2B2932" w:rsidR="00ED3A66" w:rsidRDefault="00ED3A66" w:rsidP="00382EFC">
      <w:pPr>
        <w:spacing w:after="0" w:line="360" w:lineRule="auto"/>
        <w:jc w:val="both"/>
        <w:rPr>
          <w:rFonts w:ascii="Arial" w:hAnsi="Arial" w:cs="Arial"/>
          <w:bCs/>
          <w:i/>
        </w:rPr>
      </w:pPr>
    </w:p>
    <w:p w14:paraId="2ED8361C" w14:textId="37A0ACEF" w:rsidR="0022675B" w:rsidRDefault="0022675B" w:rsidP="00382EFC">
      <w:pPr>
        <w:spacing w:after="0" w:line="360" w:lineRule="auto"/>
        <w:jc w:val="both"/>
        <w:rPr>
          <w:rFonts w:ascii="Arial" w:hAnsi="Arial" w:cs="Arial"/>
          <w:bCs/>
          <w:i/>
        </w:rPr>
      </w:pPr>
    </w:p>
    <w:p w14:paraId="2A1721B8" w14:textId="547561F7" w:rsidR="0022675B" w:rsidRDefault="0022675B" w:rsidP="00382EFC">
      <w:pPr>
        <w:spacing w:after="0" w:line="360" w:lineRule="auto"/>
        <w:jc w:val="both"/>
        <w:rPr>
          <w:rFonts w:ascii="Arial" w:hAnsi="Arial" w:cs="Arial"/>
          <w:bCs/>
          <w:i/>
        </w:rPr>
      </w:pPr>
    </w:p>
    <w:p w14:paraId="363C1D91" w14:textId="3B471F8A" w:rsidR="0022675B" w:rsidRDefault="0022675B" w:rsidP="00382EFC">
      <w:pPr>
        <w:spacing w:after="0" w:line="360" w:lineRule="auto"/>
        <w:jc w:val="both"/>
        <w:rPr>
          <w:rFonts w:ascii="Arial" w:hAnsi="Arial" w:cs="Arial"/>
          <w:bCs/>
          <w:i/>
        </w:rPr>
      </w:pPr>
    </w:p>
    <w:p w14:paraId="3291BF22" w14:textId="77777777" w:rsidR="0022675B" w:rsidRDefault="0022675B" w:rsidP="00382EFC">
      <w:pPr>
        <w:spacing w:after="0" w:line="360" w:lineRule="auto"/>
        <w:jc w:val="both"/>
        <w:rPr>
          <w:rFonts w:ascii="Arial" w:hAnsi="Arial" w:cs="Arial"/>
          <w:bCs/>
          <w:i/>
        </w:rPr>
      </w:pPr>
    </w:p>
    <w:p w14:paraId="42872295" w14:textId="18A11E06" w:rsidR="00790677" w:rsidRPr="00054DD1" w:rsidRDefault="00ED3A66" w:rsidP="00054DD1">
      <w:pPr>
        <w:pStyle w:val="ListParagraph"/>
        <w:numPr>
          <w:ilvl w:val="1"/>
          <w:numId w:val="22"/>
        </w:numPr>
        <w:spacing w:after="160" w:line="360" w:lineRule="auto"/>
        <w:ind w:left="1134" w:hanging="567"/>
        <w:contextualSpacing w:val="0"/>
        <w:jc w:val="both"/>
        <w:rPr>
          <w:rFonts w:ascii="Arial" w:hAnsi="Arial" w:cs="Arial"/>
          <w:b/>
          <w:bCs/>
          <w:i/>
        </w:rPr>
      </w:pPr>
      <w:r w:rsidRPr="009F2E9F">
        <w:rPr>
          <w:rFonts w:ascii="Arial" w:hAnsi="Arial" w:cs="Arial"/>
          <w:b/>
          <w:i/>
        </w:rPr>
        <w:lastRenderedPageBreak/>
        <w:t>Immigration</w:t>
      </w:r>
      <w:r w:rsidRPr="00382EFC">
        <w:rPr>
          <w:rFonts w:ascii="Arial" w:hAnsi="Arial" w:cs="Arial"/>
          <w:b/>
          <w:bCs/>
          <w:i/>
        </w:rPr>
        <w:t xml:space="preserve"> </w:t>
      </w:r>
      <w:r w:rsidR="009D0926">
        <w:rPr>
          <w:rFonts w:ascii="Arial" w:hAnsi="Arial" w:cs="Arial"/>
          <w:b/>
          <w:bCs/>
          <w:i/>
        </w:rPr>
        <w:t>(</w:t>
      </w:r>
      <w:r w:rsidRPr="00382EFC">
        <w:rPr>
          <w:rFonts w:ascii="Arial" w:hAnsi="Arial" w:cs="Arial"/>
          <w:b/>
          <w:bCs/>
          <w:i/>
        </w:rPr>
        <w:t>flow</w:t>
      </w:r>
      <w:r w:rsidR="009D0926">
        <w:rPr>
          <w:rFonts w:ascii="Arial" w:hAnsi="Arial" w:cs="Arial"/>
          <w:b/>
          <w:bCs/>
          <w:i/>
        </w:rPr>
        <w:t>)</w:t>
      </w:r>
    </w:p>
    <w:p w14:paraId="3A1E2245" w14:textId="37AD5828" w:rsidR="00ED3A66" w:rsidRDefault="00ED3A66" w:rsidP="009F2E9F">
      <w:pPr>
        <w:pStyle w:val="ListParagraph"/>
        <w:spacing w:after="0" w:line="360" w:lineRule="auto"/>
        <w:ind w:left="1134"/>
        <w:contextualSpacing w:val="0"/>
        <w:jc w:val="both"/>
        <w:rPr>
          <w:rFonts w:ascii="Arial" w:hAnsi="Arial" w:cs="Arial"/>
          <w:bCs/>
          <w:i/>
        </w:rPr>
      </w:pPr>
      <w:r w:rsidRPr="00382EFC">
        <w:rPr>
          <w:rFonts w:ascii="Arial" w:hAnsi="Arial" w:cs="Arial"/>
          <w:bCs/>
          <w:i/>
        </w:rPr>
        <w:t xml:space="preserve">Immigration </w:t>
      </w:r>
      <w:r w:rsidR="009D0926">
        <w:rPr>
          <w:rFonts w:ascii="Arial" w:hAnsi="Arial" w:cs="Arial"/>
          <w:bCs/>
          <w:i/>
        </w:rPr>
        <w:t>(</w:t>
      </w:r>
      <w:r w:rsidRPr="00382EFC">
        <w:rPr>
          <w:rFonts w:ascii="Arial" w:hAnsi="Arial" w:cs="Arial"/>
          <w:bCs/>
          <w:i/>
        </w:rPr>
        <w:t>flow</w:t>
      </w:r>
      <w:r w:rsidR="009D0926">
        <w:rPr>
          <w:rFonts w:ascii="Arial" w:hAnsi="Arial" w:cs="Arial"/>
          <w:bCs/>
          <w:i/>
        </w:rPr>
        <w:t>)</w:t>
      </w:r>
      <w:r w:rsidRPr="00382EFC">
        <w:rPr>
          <w:rFonts w:ascii="Arial" w:hAnsi="Arial" w:cs="Arial"/>
          <w:bCs/>
          <w:i/>
        </w:rPr>
        <w:t xml:space="preserve"> includes all persons entering the country and becoming part of the resident population within a given year including persons with national or foreign citizenships or stateless persons.  </w:t>
      </w:r>
    </w:p>
    <w:p w14:paraId="101BC223" w14:textId="77777777" w:rsidR="00D45F23" w:rsidRDefault="00D45F23" w:rsidP="009F2E9F">
      <w:pPr>
        <w:pStyle w:val="ListParagraph"/>
        <w:spacing w:after="0" w:line="360" w:lineRule="auto"/>
        <w:ind w:left="1134"/>
        <w:contextualSpacing w:val="0"/>
        <w:jc w:val="both"/>
        <w:rPr>
          <w:rFonts w:ascii="Arial" w:hAnsi="Arial" w:cs="Arial"/>
          <w:bCs/>
          <w:i/>
        </w:rPr>
      </w:pPr>
    </w:p>
    <w:p w14:paraId="5513759C" w14:textId="5D8B289C" w:rsidR="00ED3A66" w:rsidRPr="00054DD1" w:rsidRDefault="00ED3A66" w:rsidP="00054DD1">
      <w:pPr>
        <w:pStyle w:val="ListParagraph"/>
        <w:numPr>
          <w:ilvl w:val="1"/>
          <w:numId w:val="22"/>
        </w:numPr>
        <w:spacing w:after="160" w:line="360" w:lineRule="auto"/>
        <w:ind w:left="1134" w:hanging="567"/>
        <w:contextualSpacing w:val="0"/>
        <w:jc w:val="both"/>
        <w:rPr>
          <w:rFonts w:ascii="Arial" w:hAnsi="Arial" w:cs="Arial"/>
          <w:b/>
          <w:bCs/>
          <w:i/>
        </w:rPr>
      </w:pPr>
      <w:r w:rsidRPr="009F2E9F">
        <w:rPr>
          <w:rFonts w:ascii="Arial" w:hAnsi="Arial" w:cs="Arial"/>
          <w:b/>
          <w:i/>
        </w:rPr>
        <w:t>Emigrants</w:t>
      </w:r>
      <w:r w:rsidRPr="00382EFC">
        <w:rPr>
          <w:rFonts w:ascii="Arial" w:hAnsi="Arial" w:cs="Arial"/>
          <w:b/>
          <w:bCs/>
          <w:i/>
        </w:rPr>
        <w:t xml:space="preserve"> </w:t>
      </w:r>
      <w:r w:rsidR="009D0926">
        <w:rPr>
          <w:rFonts w:ascii="Arial" w:hAnsi="Arial" w:cs="Arial"/>
          <w:b/>
          <w:bCs/>
          <w:i/>
        </w:rPr>
        <w:t>(</w:t>
      </w:r>
      <w:r w:rsidRPr="00382EFC">
        <w:rPr>
          <w:rFonts w:ascii="Arial" w:hAnsi="Arial" w:cs="Arial"/>
          <w:b/>
          <w:bCs/>
          <w:i/>
        </w:rPr>
        <w:t>flow</w:t>
      </w:r>
      <w:r w:rsidR="009D0926">
        <w:rPr>
          <w:rFonts w:ascii="Arial" w:hAnsi="Arial" w:cs="Arial"/>
          <w:b/>
          <w:bCs/>
          <w:i/>
        </w:rPr>
        <w:t>)</w:t>
      </w:r>
    </w:p>
    <w:p w14:paraId="2AB6B501" w14:textId="054A606F" w:rsidR="00A96B5A" w:rsidRPr="00382EFC" w:rsidRDefault="00ED3A66" w:rsidP="009F2E9F">
      <w:pPr>
        <w:pStyle w:val="ListParagraph"/>
        <w:spacing w:after="0" w:line="360" w:lineRule="auto"/>
        <w:ind w:left="1134"/>
        <w:contextualSpacing w:val="0"/>
        <w:jc w:val="both"/>
        <w:rPr>
          <w:rFonts w:ascii="Arial" w:hAnsi="Arial" w:cs="Arial"/>
          <w:bCs/>
          <w:i/>
        </w:rPr>
      </w:pPr>
      <w:r w:rsidRPr="00382EFC">
        <w:rPr>
          <w:rFonts w:ascii="Arial" w:hAnsi="Arial" w:cs="Arial"/>
          <w:bCs/>
          <w:i/>
        </w:rPr>
        <w:t xml:space="preserve">Emigration </w:t>
      </w:r>
      <w:r w:rsidR="009D0926">
        <w:rPr>
          <w:rFonts w:ascii="Arial" w:hAnsi="Arial" w:cs="Arial"/>
          <w:bCs/>
          <w:i/>
        </w:rPr>
        <w:t>(</w:t>
      </w:r>
      <w:r w:rsidRPr="00382EFC">
        <w:rPr>
          <w:rFonts w:ascii="Arial" w:hAnsi="Arial" w:cs="Arial"/>
          <w:bCs/>
          <w:i/>
        </w:rPr>
        <w:t>flow</w:t>
      </w:r>
      <w:r w:rsidR="009D0926">
        <w:rPr>
          <w:rFonts w:ascii="Arial" w:hAnsi="Arial" w:cs="Arial"/>
          <w:bCs/>
          <w:i/>
        </w:rPr>
        <w:t>)</w:t>
      </w:r>
      <w:r w:rsidRPr="00382EFC">
        <w:rPr>
          <w:rFonts w:ascii="Arial" w:hAnsi="Arial" w:cs="Arial"/>
          <w:bCs/>
          <w:i/>
        </w:rPr>
        <w:t xml:space="preserve"> includes all persons leaving the country to become a part of another country’s resident population within a given year, including persons with national or foreign citizenships or stateless persons</w:t>
      </w:r>
      <w:r w:rsidR="00790677">
        <w:rPr>
          <w:rFonts w:ascii="Arial" w:hAnsi="Arial" w:cs="Arial"/>
          <w:bCs/>
          <w:i/>
        </w:rPr>
        <w:t>.</w:t>
      </w:r>
    </w:p>
    <w:p w14:paraId="2CA5BC9D" w14:textId="77777777" w:rsidR="00EC6BCF" w:rsidRPr="00382EFC" w:rsidRDefault="00EC6BCF" w:rsidP="00D45F23">
      <w:pPr>
        <w:spacing w:after="0" w:line="240" w:lineRule="auto"/>
        <w:jc w:val="both"/>
        <w:rPr>
          <w:rFonts w:ascii="Arial" w:hAnsi="Arial" w:cs="Arial"/>
          <w:bCs/>
          <w:i/>
        </w:rPr>
      </w:pPr>
    </w:p>
    <w:p w14:paraId="5B7DCEF8" w14:textId="47EB5D0F" w:rsidR="00055352" w:rsidRPr="00054DD1" w:rsidRDefault="00055352" w:rsidP="00054DD1">
      <w:pPr>
        <w:pStyle w:val="ListParagraph"/>
        <w:numPr>
          <w:ilvl w:val="0"/>
          <w:numId w:val="22"/>
        </w:numPr>
        <w:spacing w:after="160" w:line="360" w:lineRule="auto"/>
        <w:ind w:left="567" w:hanging="567"/>
        <w:contextualSpacing w:val="0"/>
        <w:jc w:val="both"/>
        <w:rPr>
          <w:rFonts w:ascii="Arial" w:hAnsi="Arial" w:cs="Arial"/>
          <w:b/>
          <w:bCs/>
          <w:i/>
        </w:rPr>
      </w:pPr>
      <w:r w:rsidRPr="00382EFC">
        <w:rPr>
          <w:rFonts w:ascii="Arial" w:hAnsi="Arial" w:cs="Arial"/>
          <w:b/>
          <w:bCs/>
          <w:i/>
        </w:rPr>
        <w:t>ROUNDING</w:t>
      </w:r>
    </w:p>
    <w:p w14:paraId="0479E83F" w14:textId="55468EA3" w:rsidR="00055352" w:rsidRPr="009F2E9F" w:rsidRDefault="007524A8" w:rsidP="009F2E9F">
      <w:pPr>
        <w:spacing w:after="0" w:line="360" w:lineRule="auto"/>
        <w:ind w:left="567"/>
        <w:jc w:val="both"/>
        <w:rPr>
          <w:rFonts w:ascii="Arial" w:eastAsia="Calibri" w:hAnsi="Arial" w:cs="Arial"/>
          <w:i/>
        </w:rPr>
      </w:pPr>
      <w:r w:rsidRPr="009F2E9F">
        <w:rPr>
          <w:rFonts w:ascii="Arial" w:eastAsia="Calibri" w:hAnsi="Arial" w:cs="Arial"/>
          <w:i/>
        </w:rPr>
        <w:t>Non-citizens</w:t>
      </w:r>
      <w:r w:rsidR="003D463E" w:rsidRPr="009F2E9F">
        <w:rPr>
          <w:rFonts w:ascii="Arial" w:eastAsia="Calibri" w:hAnsi="Arial" w:cs="Arial"/>
          <w:i/>
        </w:rPr>
        <w:t xml:space="preserve"> </w:t>
      </w:r>
      <w:r w:rsidR="00055352" w:rsidRPr="009F2E9F">
        <w:rPr>
          <w:rFonts w:ascii="Arial" w:eastAsia="Calibri" w:hAnsi="Arial" w:cs="Arial"/>
          <w:i/>
        </w:rPr>
        <w:t>data in this publication have been rounded to the nearest thousand. However, the calculations of indicators are based on unrounded data.</w:t>
      </w:r>
      <w:r w:rsidR="00363836" w:rsidRPr="009F2E9F">
        <w:rPr>
          <w:rFonts w:ascii="Arial" w:hAnsi="Arial" w:cs="Arial"/>
          <w:i/>
        </w:rPr>
        <w:t xml:space="preserve"> </w:t>
      </w:r>
      <w:r w:rsidR="00363836" w:rsidRPr="009F2E9F">
        <w:rPr>
          <w:rFonts w:ascii="Arial" w:eastAsia="Calibri" w:hAnsi="Arial" w:cs="Arial"/>
          <w:i/>
        </w:rPr>
        <w:t>The sum may not equal the total shown due to rounding to one decimal point.</w:t>
      </w:r>
    </w:p>
    <w:p w14:paraId="53CF7ECB" w14:textId="77777777" w:rsidR="00055352" w:rsidRPr="00382EFC" w:rsidRDefault="00055352" w:rsidP="00382EFC">
      <w:pPr>
        <w:spacing w:after="0" w:line="360" w:lineRule="auto"/>
        <w:jc w:val="both"/>
        <w:rPr>
          <w:rFonts w:ascii="Arial" w:hAnsi="Arial" w:cs="Arial"/>
          <w:i/>
        </w:rPr>
      </w:pPr>
    </w:p>
    <w:p w14:paraId="7F86352D" w14:textId="2BABB107" w:rsidR="008F0D2A" w:rsidRPr="00054DD1" w:rsidRDefault="00055352" w:rsidP="00054DD1">
      <w:pPr>
        <w:pStyle w:val="ListParagraph"/>
        <w:numPr>
          <w:ilvl w:val="0"/>
          <w:numId w:val="22"/>
        </w:numPr>
        <w:spacing w:after="160" w:line="360" w:lineRule="auto"/>
        <w:ind w:left="567" w:hanging="567"/>
        <w:contextualSpacing w:val="0"/>
        <w:jc w:val="both"/>
        <w:rPr>
          <w:rFonts w:ascii="Arial" w:hAnsi="Arial" w:cs="Arial"/>
          <w:b/>
          <w:bCs/>
          <w:i/>
        </w:rPr>
      </w:pPr>
      <w:r w:rsidRPr="00382EFC">
        <w:rPr>
          <w:rFonts w:ascii="Arial" w:hAnsi="Arial" w:cs="Arial"/>
          <w:b/>
          <w:bCs/>
          <w:i/>
        </w:rPr>
        <w:t>NOTES AND SYMBOLS</w:t>
      </w:r>
    </w:p>
    <w:p w14:paraId="58A3933D" w14:textId="29440F64" w:rsidR="00073E1A" w:rsidRPr="00054DD1" w:rsidRDefault="00073E1A" w:rsidP="00054DD1">
      <w:pPr>
        <w:spacing w:after="0" w:line="360" w:lineRule="auto"/>
        <w:ind w:firstLine="567"/>
        <w:jc w:val="both"/>
        <w:rPr>
          <w:rFonts w:ascii="Arial" w:hAnsi="Arial" w:cs="Arial"/>
          <w:b/>
          <w:bCs/>
          <w:i/>
        </w:rPr>
      </w:pPr>
      <w:r w:rsidRPr="00054DD1">
        <w:rPr>
          <w:rFonts w:ascii="Arial" w:hAnsi="Arial" w:cs="Arial"/>
          <w:b/>
          <w:bCs/>
          <w:i/>
        </w:rPr>
        <w:t>CURRENT ESTIMATES</w:t>
      </w:r>
    </w:p>
    <w:tbl>
      <w:tblPr>
        <w:tblStyle w:val="TableGrid"/>
        <w:tblW w:w="932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8203"/>
      </w:tblGrid>
      <w:tr w:rsidR="00382EFC" w:rsidRPr="00382EFC" w14:paraId="194EFAF3" w14:textId="77777777" w:rsidTr="00493EA5">
        <w:tc>
          <w:tcPr>
            <w:tcW w:w="1119" w:type="dxa"/>
          </w:tcPr>
          <w:p w14:paraId="62B88FEC" w14:textId="77777777" w:rsidR="00B7181C" w:rsidRPr="00382EFC" w:rsidRDefault="00B7181C" w:rsidP="005C136C">
            <w:pPr>
              <w:pStyle w:val="ListParagraph"/>
              <w:spacing w:after="0" w:line="360" w:lineRule="auto"/>
              <w:ind w:left="0"/>
              <w:jc w:val="both"/>
              <w:rPr>
                <w:rFonts w:ascii="Arial" w:hAnsi="Arial" w:cs="Arial"/>
                <w:i/>
              </w:rPr>
            </w:pPr>
            <w:r w:rsidRPr="00382EFC">
              <w:rPr>
                <w:rFonts w:ascii="Arial" w:eastAsia="Calibri" w:hAnsi="Arial" w:cs="Arial"/>
                <w:i/>
                <w:vertAlign w:val="superscript"/>
              </w:rPr>
              <w:t>p</w:t>
            </w:r>
          </w:p>
        </w:tc>
        <w:tc>
          <w:tcPr>
            <w:tcW w:w="8203" w:type="dxa"/>
          </w:tcPr>
          <w:p w14:paraId="5D762AA6" w14:textId="0CE99ED3" w:rsidR="00B7181C" w:rsidRPr="00382EFC" w:rsidRDefault="00B7181C" w:rsidP="005C136C">
            <w:pPr>
              <w:pStyle w:val="ListParagraph"/>
              <w:spacing w:after="0" w:line="360" w:lineRule="auto"/>
              <w:ind w:hanging="672"/>
              <w:jc w:val="both"/>
              <w:rPr>
                <w:rFonts w:ascii="Arial" w:hAnsi="Arial" w:cs="Arial"/>
                <w:i/>
              </w:rPr>
            </w:pPr>
            <w:r w:rsidRPr="00382EFC">
              <w:rPr>
                <w:rFonts w:ascii="Arial" w:eastAsia="Calibri" w:hAnsi="Arial" w:cs="Arial"/>
                <w:i/>
              </w:rPr>
              <w:t>Preliminary</w:t>
            </w:r>
          </w:p>
        </w:tc>
      </w:tr>
      <w:tr w:rsidR="00382EFC" w:rsidRPr="00382EFC" w14:paraId="18838179" w14:textId="77777777" w:rsidTr="00493EA5">
        <w:tc>
          <w:tcPr>
            <w:tcW w:w="1119" w:type="dxa"/>
          </w:tcPr>
          <w:p w14:paraId="5AD12FDC" w14:textId="1316E7FB" w:rsidR="00262A6A" w:rsidRPr="00382EFC" w:rsidRDefault="001571E0" w:rsidP="005C136C">
            <w:pPr>
              <w:pStyle w:val="ListParagraph"/>
              <w:spacing w:after="0" w:line="360" w:lineRule="auto"/>
              <w:ind w:left="0"/>
              <w:jc w:val="both"/>
              <w:rPr>
                <w:rFonts w:ascii="Arial" w:eastAsia="Calibri" w:hAnsi="Arial" w:cs="Arial"/>
                <w:i/>
                <w:vertAlign w:val="superscript"/>
              </w:rPr>
            </w:pPr>
            <w:r w:rsidRPr="00382EFC">
              <w:rPr>
                <w:rFonts w:ascii="Arial" w:eastAsia="Calibri" w:hAnsi="Arial" w:cs="Arial"/>
                <w:i/>
                <w:vertAlign w:val="superscript"/>
              </w:rPr>
              <w:t>r</w:t>
            </w:r>
          </w:p>
        </w:tc>
        <w:tc>
          <w:tcPr>
            <w:tcW w:w="8203" w:type="dxa"/>
          </w:tcPr>
          <w:p w14:paraId="2625F061" w14:textId="11BBEBD6" w:rsidR="00262A6A" w:rsidRPr="00382EFC" w:rsidRDefault="00262A6A" w:rsidP="005C136C">
            <w:pPr>
              <w:pStyle w:val="ListParagraph"/>
              <w:spacing w:after="0" w:line="360" w:lineRule="auto"/>
              <w:ind w:hanging="672"/>
              <w:jc w:val="both"/>
              <w:rPr>
                <w:rFonts w:ascii="Arial" w:eastAsia="Calibri" w:hAnsi="Arial" w:cs="Arial"/>
                <w:i/>
              </w:rPr>
            </w:pPr>
            <w:r w:rsidRPr="00382EFC">
              <w:rPr>
                <w:rFonts w:ascii="Arial" w:eastAsia="Calibri" w:hAnsi="Arial" w:cs="Arial"/>
                <w:i/>
              </w:rPr>
              <w:t>Revised</w:t>
            </w:r>
          </w:p>
        </w:tc>
      </w:tr>
      <w:tr w:rsidR="00382EFC" w:rsidRPr="00382EFC" w14:paraId="636F0D14" w14:textId="77777777" w:rsidTr="00493EA5">
        <w:tc>
          <w:tcPr>
            <w:tcW w:w="1119" w:type="dxa"/>
          </w:tcPr>
          <w:p w14:paraId="05FDEB30" w14:textId="6D2CDC42" w:rsidR="00B7181C" w:rsidRPr="00382EFC" w:rsidRDefault="00B7181C" w:rsidP="005C136C">
            <w:pPr>
              <w:pStyle w:val="ListParagraph"/>
              <w:numPr>
                <w:ilvl w:val="0"/>
                <w:numId w:val="24"/>
              </w:numPr>
              <w:spacing w:after="0" w:line="360" w:lineRule="auto"/>
              <w:ind w:left="0" w:firstLine="0"/>
              <w:jc w:val="both"/>
              <w:rPr>
                <w:rFonts w:ascii="Arial" w:hAnsi="Arial" w:cs="Arial"/>
                <w:i/>
              </w:rPr>
            </w:pPr>
          </w:p>
        </w:tc>
        <w:tc>
          <w:tcPr>
            <w:tcW w:w="8203" w:type="dxa"/>
          </w:tcPr>
          <w:p w14:paraId="793438AC" w14:textId="733E6262" w:rsidR="00B7181C" w:rsidRPr="00382EFC" w:rsidRDefault="00494779" w:rsidP="005C136C">
            <w:pPr>
              <w:pStyle w:val="ListParagraph"/>
              <w:spacing w:after="0" w:line="360" w:lineRule="auto"/>
              <w:ind w:hanging="672"/>
              <w:jc w:val="both"/>
              <w:rPr>
                <w:rFonts w:ascii="Arial" w:hAnsi="Arial" w:cs="Arial"/>
                <w:i/>
              </w:rPr>
            </w:pPr>
            <w:r w:rsidRPr="00382EFC">
              <w:rPr>
                <w:rFonts w:ascii="Arial" w:hAnsi="Arial" w:cs="Arial"/>
                <w:i/>
              </w:rPr>
              <w:t>Less than half of the smallest units shown</w:t>
            </w:r>
          </w:p>
        </w:tc>
      </w:tr>
      <w:tr w:rsidR="00382EFC" w:rsidRPr="00382EFC" w14:paraId="1B54B564" w14:textId="77777777" w:rsidTr="00493EA5">
        <w:tc>
          <w:tcPr>
            <w:tcW w:w="1119" w:type="dxa"/>
          </w:tcPr>
          <w:p w14:paraId="36559600" w14:textId="09AB3FC2" w:rsidR="00B7181C" w:rsidRPr="00382EFC" w:rsidRDefault="00445232" w:rsidP="005C136C">
            <w:pPr>
              <w:pStyle w:val="ListParagraph"/>
              <w:spacing w:after="0" w:line="360" w:lineRule="auto"/>
              <w:ind w:left="0"/>
              <w:jc w:val="both"/>
              <w:rPr>
                <w:rFonts w:ascii="Arial" w:hAnsi="Arial" w:cs="Arial"/>
                <w:i/>
              </w:rPr>
            </w:pPr>
            <w:r w:rsidRPr="00382EFC">
              <w:rPr>
                <w:rFonts w:ascii="Arial" w:eastAsia="Calibri" w:hAnsi="Arial" w:cs="Arial"/>
                <w:i/>
              </w:rPr>
              <w:t>-</w:t>
            </w:r>
          </w:p>
        </w:tc>
        <w:tc>
          <w:tcPr>
            <w:tcW w:w="8203" w:type="dxa"/>
          </w:tcPr>
          <w:p w14:paraId="0C6860C2" w14:textId="23667D19" w:rsidR="00B7181C" w:rsidRPr="00382EFC" w:rsidRDefault="00B7181C" w:rsidP="005C136C">
            <w:pPr>
              <w:pStyle w:val="ListParagraph"/>
              <w:spacing w:after="0" w:line="360" w:lineRule="auto"/>
              <w:ind w:left="1080" w:hanging="1032"/>
              <w:jc w:val="both"/>
              <w:rPr>
                <w:rFonts w:ascii="Arial" w:hAnsi="Arial" w:cs="Arial"/>
                <w:i/>
              </w:rPr>
            </w:pPr>
            <w:r w:rsidRPr="00382EFC">
              <w:rPr>
                <w:rFonts w:ascii="Arial" w:hAnsi="Arial" w:cs="Arial"/>
                <w:i/>
              </w:rPr>
              <w:t>Nil</w:t>
            </w:r>
          </w:p>
        </w:tc>
      </w:tr>
      <w:tr w:rsidR="00382EFC" w:rsidRPr="00382EFC" w14:paraId="5FFFA322" w14:textId="77777777" w:rsidTr="00493EA5">
        <w:tc>
          <w:tcPr>
            <w:tcW w:w="1119" w:type="dxa"/>
          </w:tcPr>
          <w:p w14:paraId="1BBF78AD" w14:textId="77777777" w:rsidR="00B7181C" w:rsidRPr="00382EFC" w:rsidRDefault="00B7181C" w:rsidP="005C136C">
            <w:pPr>
              <w:pStyle w:val="ListParagraph"/>
              <w:spacing w:after="0" w:line="360" w:lineRule="auto"/>
              <w:ind w:left="0"/>
              <w:jc w:val="both"/>
              <w:rPr>
                <w:rFonts w:ascii="Arial" w:hAnsi="Arial" w:cs="Arial"/>
                <w:i/>
              </w:rPr>
            </w:pPr>
            <w:r w:rsidRPr="00382EFC">
              <w:rPr>
                <w:rFonts w:ascii="Arial" w:eastAsia="Calibri" w:hAnsi="Arial" w:cs="Arial"/>
                <w:i/>
              </w:rPr>
              <w:t>W.P.</w:t>
            </w:r>
          </w:p>
        </w:tc>
        <w:tc>
          <w:tcPr>
            <w:tcW w:w="8203" w:type="dxa"/>
          </w:tcPr>
          <w:p w14:paraId="1B8532EE" w14:textId="77777777" w:rsidR="00B7181C" w:rsidRPr="00382EFC" w:rsidRDefault="00B7181C" w:rsidP="005C136C">
            <w:pPr>
              <w:pStyle w:val="ListParagraph"/>
              <w:spacing w:after="0" w:line="360" w:lineRule="auto"/>
              <w:ind w:left="1080" w:hanging="1032"/>
              <w:jc w:val="both"/>
              <w:rPr>
                <w:rFonts w:ascii="Arial" w:hAnsi="Arial" w:cs="Arial"/>
                <w:i/>
              </w:rPr>
            </w:pPr>
            <w:r w:rsidRPr="00382EFC">
              <w:rPr>
                <w:rFonts w:ascii="Arial" w:eastAsia="Calibri" w:hAnsi="Arial" w:cs="Arial"/>
                <w:i/>
              </w:rPr>
              <w:t>Wilayah Persekutuan</w:t>
            </w:r>
          </w:p>
        </w:tc>
      </w:tr>
      <w:tr w:rsidR="00054DD1" w:rsidRPr="00382EFC" w14:paraId="6F679BD9" w14:textId="77777777" w:rsidTr="00493EA5">
        <w:tc>
          <w:tcPr>
            <w:tcW w:w="1119" w:type="dxa"/>
          </w:tcPr>
          <w:p w14:paraId="46FB928F" w14:textId="77777777" w:rsidR="00054DD1" w:rsidRPr="00382EFC" w:rsidRDefault="00054DD1" w:rsidP="005C136C">
            <w:pPr>
              <w:pStyle w:val="ListParagraph"/>
              <w:spacing w:after="0" w:line="360" w:lineRule="auto"/>
              <w:ind w:left="0"/>
              <w:jc w:val="both"/>
              <w:rPr>
                <w:rFonts w:ascii="Arial" w:eastAsia="Calibri" w:hAnsi="Arial" w:cs="Arial"/>
                <w:i/>
              </w:rPr>
            </w:pPr>
          </w:p>
        </w:tc>
        <w:tc>
          <w:tcPr>
            <w:tcW w:w="8203" w:type="dxa"/>
          </w:tcPr>
          <w:p w14:paraId="3C324401" w14:textId="77777777" w:rsidR="00054DD1" w:rsidRPr="00382EFC" w:rsidRDefault="00054DD1" w:rsidP="005C136C">
            <w:pPr>
              <w:pStyle w:val="ListParagraph"/>
              <w:spacing w:after="0" w:line="360" w:lineRule="auto"/>
              <w:ind w:left="1080" w:hanging="1032"/>
              <w:jc w:val="both"/>
              <w:rPr>
                <w:rFonts w:ascii="Arial" w:eastAsia="Calibri" w:hAnsi="Arial" w:cs="Arial"/>
                <w:i/>
              </w:rPr>
            </w:pPr>
          </w:p>
        </w:tc>
      </w:tr>
    </w:tbl>
    <w:p w14:paraId="436611E9" w14:textId="68C2956F" w:rsidR="003D463E" w:rsidRPr="00382EFC" w:rsidRDefault="003D463E" w:rsidP="005C136C">
      <w:pPr>
        <w:pStyle w:val="ListParagraph"/>
        <w:spacing w:after="0" w:line="360" w:lineRule="auto"/>
        <w:ind w:left="1080" w:hanging="513"/>
        <w:jc w:val="both"/>
        <w:rPr>
          <w:rFonts w:ascii="Arial" w:hAnsi="Arial" w:cs="Arial"/>
          <w:b/>
          <w:i/>
        </w:rPr>
      </w:pPr>
      <w:r w:rsidRPr="00382EFC">
        <w:rPr>
          <w:rFonts w:ascii="Arial" w:hAnsi="Arial" w:cs="Arial"/>
          <w:b/>
          <w:i/>
        </w:rPr>
        <w:t>FOREIGN DIRECT INVESTMENT (FDI)</w:t>
      </w:r>
    </w:p>
    <w:tbl>
      <w:tblPr>
        <w:tblStyle w:val="TableGrid"/>
        <w:tblW w:w="9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57"/>
      </w:tblGrid>
      <w:tr w:rsidR="00382EFC" w:rsidRPr="00382EFC" w14:paraId="77FFA9DD" w14:textId="77777777" w:rsidTr="00455247">
        <w:tc>
          <w:tcPr>
            <w:tcW w:w="1129" w:type="dxa"/>
          </w:tcPr>
          <w:p w14:paraId="3DCA02DE" w14:textId="77777777" w:rsidR="003D463E" w:rsidRPr="00382EFC" w:rsidRDefault="003D463E" w:rsidP="005C136C">
            <w:pPr>
              <w:pStyle w:val="ListParagraph"/>
              <w:spacing w:after="0" w:line="360" w:lineRule="auto"/>
              <w:ind w:left="0"/>
              <w:jc w:val="both"/>
              <w:rPr>
                <w:rFonts w:ascii="Arial" w:hAnsi="Arial" w:cs="Arial"/>
              </w:rPr>
            </w:pPr>
            <w:r w:rsidRPr="00382EFC">
              <w:rPr>
                <w:rFonts w:ascii="Arial" w:eastAsia="Calibri" w:hAnsi="Arial" w:cs="Arial"/>
              </w:rPr>
              <w:t>-</w:t>
            </w:r>
          </w:p>
        </w:tc>
        <w:tc>
          <w:tcPr>
            <w:tcW w:w="8357" w:type="dxa"/>
          </w:tcPr>
          <w:p w14:paraId="09DCD5B8" w14:textId="3B0D35DD" w:rsidR="003D463E" w:rsidRPr="00382EFC" w:rsidRDefault="003D463E" w:rsidP="005C136C">
            <w:pPr>
              <w:pStyle w:val="ListParagraph"/>
              <w:spacing w:after="0" w:line="360" w:lineRule="auto"/>
              <w:ind w:left="1080" w:hanging="1032"/>
              <w:jc w:val="both"/>
              <w:rPr>
                <w:rFonts w:ascii="Arial" w:hAnsi="Arial" w:cs="Arial"/>
                <w:i/>
              </w:rPr>
            </w:pPr>
            <w:r w:rsidRPr="00382EFC">
              <w:rPr>
                <w:rFonts w:ascii="Arial" w:eastAsia="Calibri" w:hAnsi="Arial" w:cs="Arial"/>
                <w:i/>
              </w:rPr>
              <w:t>Nil</w:t>
            </w:r>
          </w:p>
        </w:tc>
      </w:tr>
      <w:tr w:rsidR="00382EFC" w:rsidRPr="00382EFC" w14:paraId="199C3719" w14:textId="77777777" w:rsidTr="00455247">
        <w:tc>
          <w:tcPr>
            <w:tcW w:w="1129" w:type="dxa"/>
          </w:tcPr>
          <w:p w14:paraId="26248211" w14:textId="77777777" w:rsidR="003D463E" w:rsidRPr="00382EFC" w:rsidRDefault="003D463E" w:rsidP="005C136C">
            <w:pPr>
              <w:pStyle w:val="ListParagraph"/>
              <w:spacing w:after="0" w:line="360" w:lineRule="auto"/>
              <w:ind w:left="0"/>
              <w:jc w:val="both"/>
              <w:rPr>
                <w:rFonts w:ascii="Arial" w:eastAsia="Calibri" w:hAnsi="Arial" w:cs="Arial"/>
                <w:i/>
              </w:rPr>
            </w:pPr>
            <w:r w:rsidRPr="00382EFC">
              <w:rPr>
                <w:rFonts w:ascii="Arial" w:eastAsia="Calibri" w:hAnsi="Arial" w:cs="Arial"/>
                <w:i/>
              </w:rPr>
              <w:t>0</w:t>
            </w:r>
          </w:p>
        </w:tc>
        <w:tc>
          <w:tcPr>
            <w:tcW w:w="8357" w:type="dxa"/>
          </w:tcPr>
          <w:p w14:paraId="619E868A" w14:textId="6C895416" w:rsidR="003D463E" w:rsidRPr="00382EFC" w:rsidRDefault="003D463E" w:rsidP="005C136C">
            <w:pPr>
              <w:pStyle w:val="ListParagraph"/>
              <w:spacing w:after="0" w:line="360" w:lineRule="auto"/>
              <w:ind w:left="1080" w:hanging="1032"/>
              <w:jc w:val="both"/>
              <w:rPr>
                <w:rFonts w:ascii="Arial" w:eastAsia="Calibri" w:hAnsi="Arial" w:cs="Arial"/>
                <w:i/>
              </w:rPr>
            </w:pPr>
            <w:r w:rsidRPr="00382EFC">
              <w:rPr>
                <w:rFonts w:ascii="Arial" w:eastAsia="Calibri" w:hAnsi="Arial" w:cs="Arial"/>
                <w:i/>
              </w:rPr>
              <w:t>&gt; RM500 thousand</w:t>
            </w:r>
          </w:p>
        </w:tc>
      </w:tr>
      <w:tr w:rsidR="00054DD1" w:rsidRPr="00382EFC" w14:paraId="5FCBC2A5" w14:textId="77777777" w:rsidTr="00455247">
        <w:tc>
          <w:tcPr>
            <w:tcW w:w="1129" w:type="dxa"/>
          </w:tcPr>
          <w:p w14:paraId="4EF96EA9" w14:textId="77777777" w:rsidR="00054DD1" w:rsidRPr="00382EFC" w:rsidRDefault="00054DD1" w:rsidP="005C136C">
            <w:pPr>
              <w:pStyle w:val="ListParagraph"/>
              <w:spacing w:after="0" w:line="360" w:lineRule="auto"/>
              <w:ind w:left="0"/>
              <w:jc w:val="both"/>
              <w:rPr>
                <w:rFonts w:ascii="Arial" w:eastAsia="Calibri" w:hAnsi="Arial" w:cs="Arial"/>
                <w:i/>
              </w:rPr>
            </w:pPr>
          </w:p>
        </w:tc>
        <w:tc>
          <w:tcPr>
            <w:tcW w:w="8357" w:type="dxa"/>
          </w:tcPr>
          <w:p w14:paraId="521737FD" w14:textId="77777777" w:rsidR="00054DD1" w:rsidRPr="00382EFC" w:rsidRDefault="00054DD1" w:rsidP="005C136C">
            <w:pPr>
              <w:pStyle w:val="ListParagraph"/>
              <w:spacing w:after="0" w:line="360" w:lineRule="auto"/>
              <w:ind w:left="1080" w:hanging="1032"/>
              <w:jc w:val="both"/>
              <w:rPr>
                <w:rFonts w:ascii="Arial" w:eastAsia="Calibri" w:hAnsi="Arial" w:cs="Arial"/>
                <w:i/>
              </w:rPr>
            </w:pPr>
          </w:p>
        </w:tc>
      </w:tr>
    </w:tbl>
    <w:p w14:paraId="18FA8131" w14:textId="28068006" w:rsidR="003D463E" w:rsidRPr="00382EFC" w:rsidRDefault="003D463E" w:rsidP="005C136C">
      <w:pPr>
        <w:pStyle w:val="ListParagraph"/>
        <w:spacing w:after="0" w:line="360" w:lineRule="auto"/>
        <w:ind w:left="1080" w:hanging="513"/>
        <w:jc w:val="both"/>
        <w:rPr>
          <w:rFonts w:ascii="Arial" w:hAnsi="Arial" w:cs="Arial"/>
          <w:b/>
          <w:i/>
        </w:rPr>
      </w:pPr>
      <w:r w:rsidRPr="00382EFC">
        <w:rPr>
          <w:rFonts w:ascii="Arial" w:hAnsi="Arial" w:cs="Arial"/>
          <w:b/>
          <w:i/>
        </w:rPr>
        <w:t>HIGHER EDUCATION STATISTICS</w:t>
      </w:r>
    </w:p>
    <w:tbl>
      <w:tblPr>
        <w:tblStyle w:val="TableGrid"/>
        <w:tblW w:w="9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57"/>
      </w:tblGrid>
      <w:tr w:rsidR="009F2E9F" w:rsidRPr="00382EFC" w14:paraId="59A02C84" w14:textId="77777777" w:rsidTr="00455247">
        <w:tc>
          <w:tcPr>
            <w:tcW w:w="1129" w:type="dxa"/>
          </w:tcPr>
          <w:p w14:paraId="5D3AF6BC" w14:textId="77777777" w:rsidR="003D463E" w:rsidRPr="00382EFC" w:rsidRDefault="003D463E" w:rsidP="005C136C">
            <w:pPr>
              <w:pStyle w:val="ListParagraph"/>
              <w:spacing w:after="0" w:line="360" w:lineRule="auto"/>
              <w:ind w:left="0"/>
              <w:jc w:val="both"/>
              <w:rPr>
                <w:rFonts w:ascii="Arial" w:hAnsi="Arial" w:cs="Arial"/>
                <w:i/>
              </w:rPr>
            </w:pPr>
            <w:r w:rsidRPr="00382EFC">
              <w:rPr>
                <w:rFonts w:ascii="Arial" w:eastAsia="Calibri" w:hAnsi="Arial" w:cs="Arial"/>
                <w:i/>
              </w:rPr>
              <w:t>0</w:t>
            </w:r>
          </w:p>
        </w:tc>
        <w:tc>
          <w:tcPr>
            <w:tcW w:w="8357" w:type="dxa"/>
          </w:tcPr>
          <w:p w14:paraId="3A188481" w14:textId="689EBCF9" w:rsidR="003D463E" w:rsidRPr="00382EFC" w:rsidRDefault="003D463E" w:rsidP="005C136C">
            <w:pPr>
              <w:pStyle w:val="ListParagraph"/>
              <w:spacing w:after="0" w:line="360" w:lineRule="auto"/>
              <w:ind w:left="1080" w:hanging="1045"/>
              <w:jc w:val="both"/>
              <w:rPr>
                <w:rFonts w:ascii="Arial" w:hAnsi="Arial" w:cs="Arial"/>
                <w:i/>
              </w:rPr>
            </w:pPr>
            <w:r w:rsidRPr="00382EFC">
              <w:rPr>
                <w:rFonts w:ascii="Arial" w:eastAsia="Calibri" w:hAnsi="Arial" w:cs="Arial"/>
                <w:i/>
              </w:rPr>
              <w:t>Nil</w:t>
            </w:r>
          </w:p>
        </w:tc>
      </w:tr>
    </w:tbl>
    <w:p w14:paraId="5AB2F31C" w14:textId="77777777" w:rsidR="008F0D2A" w:rsidRPr="00382EFC" w:rsidRDefault="008F0D2A" w:rsidP="00382EFC">
      <w:pPr>
        <w:spacing w:after="0" w:line="360" w:lineRule="auto"/>
        <w:jc w:val="both"/>
        <w:rPr>
          <w:rFonts w:ascii="Arial" w:hAnsi="Arial" w:cs="Arial"/>
          <w:i/>
        </w:rPr>
      </w:pPr>
    </w:p>
    <w:sectPr w:rsidR="008F0D2A" w:rsidRPr="00382EFC" w:rsidSect="00D45F23">
      <w:footerReference w:type="first" r:id="rId8"/>
      <w:pgSz w:w="11906" w:h="16838" w:code="9"/>
      <w:pgMar w:top="1134" w:right="851" w:bottom="1134" w:left="851" w:header="454" w:footer="709" w:gutter="0"/>
      <w:pgNumType w:start="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9CDA" w14:textId="77777777" w:rsidR="00091AB2" w:rsidRDefault="00091AB2">
      <w:pPr>
        <w:spacing w:after="0" w:line="240" w:lineRule="auto"/>
      </w:pPr>
      <w:r>
        <w:separator/>
      </w:r>
    </w:p>
  </w:endnote>
  <w:endnote w:type="continuationSeparator" w:id="0">
    <w:p w14:paraId="4838F718" w14:textId="77777777" w:rsidR="00091AB2" w:rsidRDefault="0009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764430"/>
      <w:docPartObj>
        <w:docPartGallery w:val="Page Numbers (Bottom of Page)"/>
        <w:docPartUnique/>
      </w:docPartObj>
    </w:sdtPr>
    <w:sdtEndPr/>
    <w:sdtContent>
      <w:p w14:paraId="08DCB490" w14:textId="77777777" w:rsidR="004A78A6" w:rsidRDefault="004A78A6">
        <w:pPr>
          <w:pStyle w:val="Footer"/>
          <w:jc w:val="center"/>
        </w:pPr>
        <w:r>
          <w:fldChar w:fldCharType="begin"/>
        </w:r>
        <w:r>
          <w:instrText xml:space="preserve"> PAGE   \* MERGEFORMAT </w:instrText>
        </w:r>
        <w:r>
          <w:fldChar w:fldCharType="separate"/>
        </w:r>
        <w:r>
          <w:rPr>
            <w:noProof/>
          </w:rPr>
          <w:t>1</w:t>
        </w:r>
        <w:r>
          <w:rPr>
            <w:noProof/>
          </w:rPr>
          <w:fldChar w:fldCharType="end"/>
        </w:r>
        <w:r>
          <w:t>00</w:t>
        </w:r>
      </w:p>
    </w:sdtContent>
  </w:sdt>
  <w:p w14:paraId="1607B24F" w14:textId="77777777" w:rsidR="004A78A6" w:rsidRDefault="004A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FBE3F" w14:textId="77777777" w:rsidR="00091AB2" w:rsidRDefault="00091AB2">
      <w:pPr>
        <w:spacing w:after="0" w:line="240" w:lineRule="auto"/>
      </w:pPr>
      <w:r>
        <w:separator/>
      </w:r>
    </w:p>
  </w:footnote>
  <w:footnote w:type="continuationSeparator" w:id="0">
    <w:p w14:paraId="27868425" w14:textId="77777777" w:rsidR="00091AB2" w:rsidRDefault="0009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0EE1"/>
    <w:multiLevelType w:val="hybridMultilevel"/>
    <w:tmpl w:val="E0AA92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B0985"/>
    <w:multiLevelType w:val="hybridMultilevel"/>
    <w:tmpl w:val="B1629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E642A"/>
    <w:multiLevelType w:val="multilevel"/>
    <w:tmpl w:val="054A5C9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034210"/>
    <w:multiLevelType w:val="multilevel"/>
    <w:tmpl w:val="5510B00E"/>
    <w:lvl w:ilvl="0">
      <w:start w:val="3"/>
      <w:numFmt w:val="decimal"/>
      <w:lvlText w:val="%1."/>
      <w:lvlJc w:val="left"/>
      <w:pPr>
        <w:ind w:left="720" w:hanging="360"/>
      </w:pPr>
      <w:rPr>
        <w:rFonts w:hint="default"/>
        <w:color w:val="auto"/>
      </w:rPr>
    </w:lvl>
    <w:lvl w:ilvl="1">
      <w:start w:val="1"/>
      <w:numFmt w:val="decimal"/>
      <w:isLgl/>
      <w:lvlText w:val="%1.%2"/>
      <w:lvlJc w:val="left"/>
      <w:pPr>
        <w:ind w:left="923" w:hanging="563"/>
      </w:pPr>
      <w:rPr>
        <w:rFonts w:hint="default"/>
        <w:b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827103"/>
    <w:multiLevelType w:val="multilevel"/>
    <w:tmpl w:val="96D01604"/>
    <w:lvl w:ilvl="0">
      <w:start w:val="3"/>
      <w:numFmt w:val="decimal"/>
      <w:lvlText w:val="%1."/>
      <w:lvlJc w:val="left"/>
      <w:pPr>
        <w:ind w:left="720" w:hanging="360"/>
      </w:pPr>
      <w:rPr>
        <w:rFonts w:hint="default"/>
        <w:color w:val="auto"/>
      </w:rPr>
    </w:lvl>
    <w:lvl w:ilvl="1">
      <w:start w:val="1"/>
      <w:numFmt w:val="decimal"/>
      <w:isLgl/>
      <w:lvlText w:val="%1.%2"/>
      <w:lvlJc w:val="left"/>
      <w:pPr>
        <w:ind w:left="923" w:hanging="563"/>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C339A1"/>
    <w:multiLevelType w:val="multilevel"/>
    <w:tmpl w:val="2380675A"/>
    <w:lvl w:ilvl="0">
      <w:start w:val="1"/>
      <w:numFmt w:val="decimal"/>
      <w:lvlText w:val="%1."/>
      <w:lvlJc w:val="left"/>
      <w:pPr>
        <w:ind w:left="720" w:hanging="360"/>
      </w:pPr>
      <w:rPr>
        <w:rFonts w:hint="default"/>
        <w:color w:val="auto"/>
      </w:rPr>
    </w:lvl>
    <w:lvl w:ilvl="1">
      <w:start w:val="1"/>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FE4B7B"/>
    <w:multiLevelType w:val="multilevel"/>
    <w:tmpl w:val="D5F6EDF6"/>
    <w:lvl w:ilvl="0">
      <w:start w:val="1"/>
      <w:numFmt w:val="decimal"/>
      <w:lvlText w:val="%1."/>
      <w:lvlJc w:val="left"/>
      <w:pPr>
        <w:ind w:left="360" w:hanging="360"/>
      </w:pPr>
      <w:rPr>
        <w:rFonts w:hint="default"/>
        <w:color w:val="3F4FA2"/>
      </w:rPr>
    </w:lvl>
    <w:lvl w:ilvl="1">
      <w:start w:val="1"/>
      <w:numFmt w:val="decimal"/>
      <w:lvlText w:val="%1.%2"/>
      <w:lvlJc w:val="left"/>
      <w:pPr>
        <w:ind w:left="792" w:hanging="432"/>
      </w:pPr>
      <w:rPr>
        <w:rFonts w:hint="default"/>
        <w:b w:val="0"/>
        <w:i/>
        <w:color w:val="auto"/>
      </w:rPr>
    </w:lvl>
    <w:lvl w:ilvl="2">
      <w:start w:val="1"/>
      <w:numFmt w:val="decimal"/>
      <w:lvlText w:val="%1.%2.%3"/>
      <w:lvlJc w:val="left"/>
      <w:pPr>
        <w:ind w:left="1224" w:hanging="504"/>
      </w:pPr>
      <w:rPr>
        <w:rFonts w:hint="default"/>
        <w:b w:val="0"/>
        <w:color w:val="auto"/>
      </w:rPr>
    </w:lvl>
    <w:lvl w:ilvl="3">
      <w:start w:val="1"/>
      <w:numFmt w:val="decimal"/>
      <w:lvlText w:val="%4%1.%2.%3.2"/>
      <w:lvlJc w:val="left"/>
      <w:pPr>
        <w:ind w:left="271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067A9"/>
    <w:multiLevelType w:val="multilevel"/>
    <w:tmpl w:val="086ECA14"/>
    <w:lvl w:ilvl="0">
      <w:start w:val="5"/>
      <w:numFmt w:val="decimal"/>
      <w:lvlText w:val="%1"/>
      <w:lvlJc w:val="left"/>
      <w:pPr>
        <w:ind w:left="660" w:hanging="660"/>
      </w:pPr>
      <w:rPr>
        <w:rFonts w:eastAsia="Calibri" w:hint="default"/>
        <w:b w:val="0"/>
      </w:rPr>
    </w:lvl>
    <w:lvl w:ilvl="1">
      <w:start w:val="7"/>
      <w:numFmt w:val="decimal"/>
      <w:lvlText w:val="%1.%2"/>
      <w:lvlJc w:val="left"/>
      <w:pPr>
        <w:ind w:left="660" w:hanging="6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8" w15:restartNumberingAfterBreak="0">
    <w:nsid w:val="3EE061ED"/>
    <w:multiLevelType w:val="hybridMultilevel"/>
    <w:tmpl w:val="10C83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D02C06"/>
    <w:multiLevelType w:val="hybridMultilevel"/>
    <w:tmpl w:val="C680AC2E"/>
    <w:lvl w:ilvl="0" w:tplc="ECA88C06">
      <w:start w:val="1"/>
      <w:numFmt w:val="lowerRoman"/>
      <w:lvlText w:val="%1."/>
      <w:lvlJc w:val="left"/>
      <w:pPr>
        <w:ind w:left="28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642F3"/>
    <w:multiLevelType w:val="hybridMultilevel"/>
    <w:tmpl w:val="4044C264"/>
    <w:lvl w:ilvl="0" w:tplc="E7D45C2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176700D"/>
    <w:multiLevelType w:val="multilevel"/>
    <w:tmpl w:val="A8402E8E"/>
    <w:lvl w:ilvl="0">
      <w:start w:val="1"/>
      <w:numFmt w:val="decimal"/>
      <w:lvlText w:val="%1."/>
      <w:lvlJc w:val="left"/>
      <w:pPr>
        <w:ind w:left="720" w:hanging="360"/>
      </w:pPr>
      <w:rPr>
        <w:rFonts w:hint="default"/>
        <w:color w:val="auto"/>
      </w:rPr>
    </w:lvl>
    <w:lvl w:ilvl="1">
      <w:start w:val="1"/>
      <w:numFmt w:val="decimal"/>
      <w:isLgl/>
      <w:lvlText w:val="%1.%2"/>
      <w:lvlJc w:val="left"/>
      <w:pPr>
        <w:ind w:left="923" w:hanging="563"/>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7E44BE"/>
    <w:multiLevelType w:val="hybridMultilevel"/>
    <w:tmpl w:val="02E4678E"/>
    <w:lvl w:ilvl="0" w:tplc="D856D99C">
      <w:start w:val="1"/>
      <w:numFmt w:val="lowerRoman"/>
      <w:lvlText w:val="%1."/>
      <w:lvlJc w:val="right"/>
      <w:pPr>
        <w:ind w:left="2563" w:hanging="360"/>
      </w:pPr>
      <w:rPr>
        <w:rFonts w:hint="default"/>
        <w:color w:val="auto"/>
      </w:rPr>
    </w:lvl>
    <w:lvl w:ilvl="1" w:tplc="44090019" w:tentative="1">
      <w:start w:val="1"/>
      <w:numFmt w:val="lowerLetter"/>
      <w:lvlText w:val="%2."/>
      <w:lvlJc w:val="left"/>
      <w:pPr>
        <w:ind w:left="3283" w:hanging="360"/>
      </w:pPr>
    </w:lvl>
    <w:lvl w:ilvl="2" w:tplc="4409001B" w:tentative="1">
      <w:start w:val="1"/>
      <w:numFmt w:val="lowerRoman"/>
      <w:lvlText w:val="%3."/>
      <w:lvlJc w:val="right"/>
      <w:pPr>
        <w:ind w:left="4003" w:hanging="180"/>
      </w:pPr>
    </w:lvl>
    <w:lvl w:ilvl="3" w:tplc="4409000F" w:tentative="1">
      <w:start w:val="1"/>
      <w:numFmt w:val="decimal"/>
      <w:lvlText w:val="%4."/>
      <w:lvlJc w:val="left"/>
      <w:pPr>
        <w:ind w:left="4723" w:hanging="360"/>
      </w:pPr>
    </w:lvl>
    <w:lvl w:ilvl="4" w:tplc="44090019" w:tentative="1">
      <w:start w:val="1"/>
      <w:numFmt w:val="lowerLetter"/>
      <w:lvlText w:val="%5."/>
      <w:lvlJc w:val="left"/>
      <w:pPr>
        <w:ind w:left="5443" w:hanging="360"/>
      </w:pPr>
    </w:lvl>
    <w:lvl w:ilvl="5" w:tplc="4409001B" w:tentative="1">
      <w:start w:val="1"/>
      <w:numFmt w:val="lowerRoman"/>
      <w:lvlText w:val="%6."/>
      <w:lvlJc w:val="right"/>
      <w:pPr>
        <w:ind w:left="6163" w:hanging="180"/>
      </w:pPr>
    </w:lvl>
    <w:lvl w:ilvl="6" w:tplc="4409000F" w:tentative="1">
      <w:start w:val="1"/>
      <w:numFmt w:val="decimal"/>
      <w:lvlText w:val="%7."/>
      <w:lvlJc w:val="left"/>
      <w:pPr>
        <w:ind w:left="6883" w:hanging="360"/>
      </w:pPr>
    </w:lvl>
    <w:lvl w:ilvl="7" w:tplc="44090019" w:tentative="1">
      <w:start w:val="1"/>
      <w:numFmt w:val="lowerLetter"/>
      <w:lvlText w:val="%8."/>
      <w:lvlJc w:val="left"/>
      <w:pPr>
        <w:ind w:left="7603" w:hanging="360"/>
      </w:pPr>
    </w:lvl>
    <w:lvl w:ilvl="8" w:tplc="4409001B" w:tentative="1">
      <w:start w:val="1"/>
      <w:numFmt w:val="lowerRoman"/>
      <w:lvlText w:val="%9."/>
      <w:lvlJc w:val="right"/>
      <w:pPr>
        <w:ind w:left="8323" w:hanging="180"/>
      </w:pPr>
    </w:lvl>
  </w:abstractNum>
  <w:abstractNum w:abstractNumId="13" w15:restartNumberingAfterBreak="0">
    <w:nsid w:val="58FE56B9"/>
    <w:multiLevelType w:val="multilevel"/>
    <w:tmpl w:val="6B922F24"/>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642046"/>
    <w:multiLevelType w:val="multilevel"/>
    <w:tmpl w:val="3D32FE0E"/>
    <w:lvl w:ilvl="0">
      <w:start w:val="3"/>
      <w:numFmt w:val="decimal"/>
      <w:lvlText w:val="%1"/>
      <w:lvlJc w:val="left"/>
      <w:pPr>
        <w:ind w:left="390" w:hanging="390"/>
      </w:pPr>
      <w:rPr>
        <w:rFonts w:hint="default"/>
        <w:b/>
      </w:rPr>
    </w:lvl>
    <w:lvl w:ilvl="1">
      <w:start w:val="2"/>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i/>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5" w15:restartNumberingAfterBreak="0">
    <w:nsid w:val="5FF90EAD"/>
    <w:multiLevelType w:val="multilevel"/>
    <w:tmpl w:val="7466F140"/>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71979BB"/>
    <w:multiLevelType w:val="multilevel"/>
    <w:tmpl w:val="B9B872B6"/>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338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C90E7A"/>
    <w:multiLevelType w:val="hybridMultilevel"/>
    <w:tmpl w:val="6D746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09514E"/>
    <w:multiLevelType w:val="multilevel"/>
    <w:tmpl w:val="B1AC90FC"/>
    <w:lvl w:ilvl="0">
      <w:numFmt w:val="decimal"/>
      <w:lvlText w:val="%1.0"/>
      <w:lvlJc w:val="left"/>
      <w:pPr>
        <w:ind w:left="1080" w:hanging="360"/>
      </w:pPr>
      <w:rPr>
        <w:rFonts w:eastAsia="Calibri" w:hint="default"/>
      </w:rPr>
    </w:lvl>
    <w:lvl w:ilvl="1">
      <w:start w:val="1"/>
      <w:numFmt w:val="decimal"/>
      <w:lvlText w:val="%1.%2"/>
      <w:lvlJc w:val="left"/>
      <w:pPr>
        <w:ind w:left="1788" w:hanging="360"/>
      </w:pPr>
      <w:rPr>
        <w:rFonts w:eastAsia="Calibri" w:hint="default"/>
      </w:rPr>
    </w:lvl>
    <w:lvl w:ilvl="2">
      <w:start w:val="1"/>
      <w:numFmt w:val="decimal"/>
      <w:lvlText w:val="%1.%2.%3"/>
      <w:lvlJc w:val="left"/>
      <w:pPr>
        <w:ind w:left="2856" w:hanging="720"/>
      </w:pPr>
      <w:rPr>
        <w:rFonts w:eastAsia="Calibri" w:hint="default"/>
      </w:rPr>
    </w:lvl>
    <w:lvl w:ilvl="3">
      <w:start w:val="1"/>
      <w:numFmt w:val="decimal"/>
      <w:lvlText w:val="%1.%2.%3.%4"/>
      <w:lvlJc w:val="left"/>
      <w:pPr>
        <w:ind w:left="3564" w:hanging="720"/>
      </w:pPr>
      <w:rPr>
        <w:rFonts w:eastAsia="Calibri" w:hint="default"/>
      </w:rPr>
    </w:lvl>
    <w:lvl w:ilvl="4">
      <w:start w:val="1"/>
      <w:numFmt w:val="decimal"/>
      <w:lvlText w:val="%1.%2.%3.%4.%5"/>
      <w:lvlJc w:val="left"/>
      <w:pPr>
        <w:ind w:left="4632" w:hanging="1080"/>
      </w:pPr>
      <w:rPr>
        <w:rFonts w:eastAsia="Calibri" w:hint="default"/>
      </w:rPr>
    </w:lvl>
    <w:lvl w:ilvl="5">
      <w:start w:val="1"/>
      <w:numFmt w:val="decimal"/>
      <w:lvlText w:val="%1.%2.%3.%4.%5.%6"/>
      <w:lvlJc w:val="left"/>
      <w:pPr>
        <w:ind w:left="5340" w:hanging="1080"/>
      </w:pPr>
      <w:rPr>
        <w:rFonts w:eastAsia="Calibri" w:hint="default"/>
      </w:rPr>
    </w:lvl>
    <w:lvl w:ilvl="6">
      <w:start w:val="1"/>
      <w:numFmt w:val="decimal"/>
      <w:lvlText w:val="%1.%2.%3.%4.%5.%6.%7"/>
      <w:lvlJc w:val="left"/>
      <w:pPr>
        <w:ind w:left="6408" w:hanging="1440"/>
      </w:pPr>
      <w:rPr>
        <w:rFonts w:eastAsia="Calibri" w:hint="default"/>
      </w:rPr>
    </w:lvl>
    <w:lvl w:ilvl="7">
      <w:start w:val="1"/>
      <w:numFmt w:val="decimal"/>
      <w:lvlText w:val="%1.%2.%3.%4.%5.%6.%7.%8"/>
      <w:lvlJc w:val="left"/>
      <w:pPr>
        <w:ind w:left="7116" w:hanging="1440"/>
      </w:pPr>
      <w:rPr>
        <w:rFonts w:eastAsia="Calibri" w:hint="default"/>
      </w:rPr>
    </w:lvl>
    <w:lvl w:ilvl="8">
      <w:start w:val="1"/>
      <w:numFmt w:val="decimal"/>
      <w:lvlText w:val="%1.%2.%3.%4.%5.%6.%7.%8.%9"/>
      <w:lvlJc w:val="left"/>
      <w:pPr>
        <w:ind w:left="8184" w:hanging="1800"/>
      </w:pPr>
      <w:rPr>
        <w:rFonts w:eastAsia="Calibri" w:hint="default"/>
      </w:rPr>
    </w:lvl>
  </w:abstractNum>
  <w:abstractNum w:abstractNumId="19" w15:restartNumberingAfterBreak="0">
    <w:nsid w:val="6E33655A"/>
    <w:multiLevelType w:val="multilevel"/>
    <w:tmpl w:val="B7F24D04"/>
    <w:lvl w:ilvl="0">
      <w:start w:val="5"/>
      <w:numFmt w:val="decimal"/>
      <w:lvlText w:val="%1."/>
      <w:lvlJc w:val="left"/>
      <w:pPr>
        <w:ind w:left="360" w:hanging="360"/>
      </w:pPr>
      <w:rPr>
        <w:rFonts w:hint="default"/>
        <w:color w:val="3F4FA2"/>
      </w:rPr>
    </w:lvl>
    <w:lvl w:ilvl="1">
      <w:start w:val="3"/>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DA02BB"/>
    <w:multiLevelType w:val="multilevel"/>
    <w:tmpl w:val="C094A1B2"/>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9A0CF4"/>
    <w:multiLevelType w:val="multilevel"/>
    <w:tmpl w:val="1C126038"/>
    <w:lvl w:ilvl="0">
      <w:start w:val="4"/>
      <w:numFmt w:val="decimal"/>
      <w:lvlText w:val="%1"/>
      <w:lvlJc w:val="left"/>
      <w:pPr>
        <w:ind w:left="435" w:hanging="435"/>
      </w:pPr>
      <w:rPr>
        <w:rFonts w:eastAsia="Calibri" w:hint="default"/>
        <w:b w:val="0"/>
      </w:rPr>
    </w:lvl>
    <w:lvl w:ilvl="1">
      <w:start w:val="7"/>
      <w:numFmt w:val="decimal"/>
      <w:lvlText w:val="%1.%2"/>
      <w:lvlJc w:val="left"/>
      <w:pPr>
        <w:ind w:left="1020" w:hanging="435"/>
      </w:pPr>
      <w:rPr>
        <w:rFonts w:eastAsia="Calibri" w:hint="default"/>
        <w:b w:val="0"/>
      </w:rPr>
    </w:lvl>
    <w:lvl w:ilvl="2">
      <w:start w:val="1"/>
      <w:numFmt w:val="decimal"/>
      <w:lvlText w:val="%1.%2.%3"/>
      <w:lvlJc w:val="left"/>
      <w:pPr>
        <w:ind w:left="1890" w:hanging="720"/>
      </w:pPr>
      <w:rPr>
        <w:rFonts w:eastAsia="Calibri" w:hint="default"/>
        <w:b w:val="0"/>
      </w:rPr>
    </w:lvl>
    <w:lvl w:ilvl="3">
      <w:start w:val="1"/>
      <w:numFmt w:val="decimal"/>
      <w:lvlText w:val="%1.%2.%3.%4"/>
      <w:lvlJc w:val="left"/>
      <w:pPr>
        <w:ind w:left="2475" w:hanging="720"/>
      </w:pPr>
      <w:rPr>
        <w:rFonts w:eastAsia="Calibri" w:hint="default"/>
        <w:b w:val="0"/>
      </w:rPr>
    </w:lvl>
    <w:lvl w:ilvl="4">
      <w:start w:val="1"/>
      <w:numFmt w:val="decimal"/>
      <w:lvlText w:val="%1.%2.%3.%4.%5"/>
      <w:lvlJc w:val="left"/>
      <w:pPr>
        <w:ind w:left="3420" w:hanging="1080"/>
      </w:pPr>
      <w:rPr>
        <w:rFonts w:eastAsia="Calibri" w:hint="default"/>
        <w:b w:val="0"/>
      </w:rPr>
    </w:lvl>
    <w:lvl w:ilvl="5">
      <w:start w:val="1"/>
      <w:numFmt w:val="decimal"/>
      <w:lvlText w:val="%1.%2.%3.%4.%5.%6"/>
      <w:lvlJc w:val="left"/>
      <w:pPr>
        <w:ind w:left="4005" w:hanging="1080"/>
      </w:pPr>
      <w:rPr>
        <w:rFonts w:eastAsia="Calibri" w:hint="default"/>
        <w:b w:val="0"/>
      </w:rPr>
    </w:lvl>
    <w:lvl w:ilvl="6">
      <w:start w:val="1"/>
      <w:numFmt w:val="decimal"/>
      <w:lvlText w:val="%1.%2.%3.%4.%5.%6.%7"/>
      <w:lvlJc w:val="left"/>
      <w:pPr>
        <w:ind w:left="4950" w:hanging="1440"/>
      </w:pPr>
      <w:rPr>
        <w:rFonts w:eastAsia="Calibri" w:hint="default"/>
        <w:b w:val="0"/>
      </w:rPr>
    </w:lvl>
    <w:lvl w:ilvl="7">
      <w:start w:val="1"/>
      <w:numFmt w:val="decimal"/>
      <w:lvlText w:val="%1.%2.%3.%4.%5.%6.%7.%8"/>
      <w:lvlJc w:val="left"/>
      <w:pPr>
        <w:ind w:left="5535" w:hanging="1440"/>
      </w:pPr>
      <w:rPr>
        <w:rFonts w:eastAsia="Calibri" w:hint="default"/>
        <w:b w:val="0"/>
      </w:rPr>
    </w:lvl>
    <w:lvl w:ilvl="8">
      <w:start w:val="1"/>
      <w:numFmt w:val="decimal"/>
      <w:lvlText w:val="%1.%2.%3.%4.%5.%6.%7.%8.%9"/>
      <w:lvlJc w:val="left"/>
      <w:pPr>
        <w:ind w:left="6480" w:hanging="1800"/>
      </w:pPr>
      <w:rPr>
        <w:rFonts w:eastAsia="Calibri" w:hint="default"/>
        <w:b w:val="0"/>
      </w:rPr>
    </w:lvl>
  </w:abstractNum>
  <w:abstractNum w:abstractNumId="22" w15:restartNumberingAfterBreak="0">
    <w:nsid w:val="78331493"/>
    <w:multiLevelType w:val="multilevel"/>
    <w:tmpl w:val="D9E81E54"/>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AB6392"/>
    <w:multiLevelType w:val="hybridMultilevel"/>
    <w:tmpl w:val="2E9EC7EA"/>
    <w:lvl w:ilvl="0" w:tplc="E7D45C2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9"/>
  </w:num>
  <w:num w:numId="5">
    <w:abstractNumId w:val="14"/>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7"/>
  </w:num>
  <w:num w:numId="10">
    <w:abstractNumId w:val="8"/>
  </w:num>
  <w:num w:numId="11">
    <w:abstractNumId w:val="1"/>
  </w:num>
  <w:num w:numId="12">
    <w:abstractNumId w:val="0"/>
  </w:num>
  <w:num w:numId="13">
    <w:abstractNumId w:val="11"/>
  </w:num>
  <w:num w:numId="14">
    <w:abstractNumId w:val="10"/>
  </w:num>
  <w:num w:numId="15">
    <w:abstractNumId w:val="23"/>
  </w:num>
  <w:num w:numId="16">
    <w:abstractNumId w:val="13"/>
  </w:num>
  <w:num w:numId="17">
    <w:abstractNumId w:val="15"/>
  </w:num>
  <w:num w:numId="18">
    <w:abstractNumId w:val="20"/>
  </w:num>
  <w:num w:numId="19">
    <w:abstractNumId w:val="22"/>
  </w:num>
  <w:num w:numId="20">
    <w:abstractNumId w:val="5"/>
  </w:num>
  <w:num w:numId="21">
    <w:abstractNumId w:val="3"/>
  </w:num>
  <w:num w:numId="22">
    <w:abstractNumId w:val="4"/>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52"/>
    <w:rsid w:val="000050C7"/>
    <w:rsid w:val="00011048"/>
    <w:rsid w:val="00017EDF"/>
    <w:rsid w:val="000319E3"/>
    <w:rsid w:val="0003511C"/>
    <w:rsid w:val="00054DD1"/>
    <w:rsid w:val="00055352"/>
    <w:rsid w:val="00063FC8"/>
    <w:rsid w:val="00064E92"/>
    <w:rsid w:val="000700F1"/>
    <w:rsid w:val="00073E1A"/>
    <w:rsid w:val="00091AB2"/>
    <w:rsid w:val="000A75DC"/>
    <w:rsid w:val="000B27CF"/>
    <w:rsid w:val="000E1CAB"/>
    <w:rsid w:val="0010067C"/>
    <w:rsid w:val="00105243"/>
    <w:rsid w:val="0011705C"/>
    <w:rsid w:val="00147963"/>
    <w:rsid w:val="00156B8D"/>
    <w:rsid w:val="001571E0"/>
    <w:rsid w:val="00157C64"/>
    <w:rsid w:val="00161A8D"/>
    <w:rsid w:val="00167FCC"/>
    <w:rsid w:val="0017042D"/>
    <w:rsid w:val="00193AFB"/>
    <w:rsid w:val="0019571B"/>
    <w:rsid w:val="001B017D"/>
    <w:rsid w:val="001B70F3"/>
    <w:rsid w:val="001D32AD"/>
    <w:rsid w:val="001D4F39"/>
    <w:rsid w:val="001E114D"/>
    <w:rsid w:val="001E190C"/>
    <w:rsid w:val="001E5912"/>
    <w:rsid w:val="001E721D"/>
    <w:rsid w:val="001F2BD0"/>
    <w:rsid w:val="001F6431"/>
    <w:rsid w:val="002001AB"/>
    <w:rsid w:val="002174B7"/>
    <w:rsid w:val="00220942"/>
    <w:rsid w:val="0022601C"/>
    <w:rsid w:val="0022675B"/>
    <w:rsid w:val="00227F33"/>
    <w:rsid w:val="002336E2"/>
    <w:rsid w:val="00247131"/>
    <w:rsid w:val="00250F2A"/>
    <w:rsid w:val="00254399"/>
    <w:rsid w:val="00262A6A"/>
    <w:rsid w:val="00270015"/>
    <w:rsid w:val="00272FD9"/>
    <w:rsid w:val="00273160"/>
    <w:rsid w:val="00274B86"/>
    <w:rsid w:val="0027504E"/>
    <w:rsid w:val="002777EF"/>
    <w:rsid w:val="002810BF"/>
    <w:rsid w:val="002871C7"/>
    <w:rsid w:val="00290DBC"/>
    <w:rsid w:val="002B6B4D"/>
    <w:rsid w:val="002E2BAE"/>
    <w:rsid w:val="002E352B"/>
    <w:rsid w:val="00302FC3"/>
    <w:rsid w:val="003103AA"/>
    <w:rsid w:val="00311C6E"/>
    <w:rsid w:val="0032521A"/>
    <w:rsid w:val="00354686"/>
    <w:rsid w:val="00356221"/>
    <w:rsid w:val="0036078E"/>
    <w:rsid w:val="00363836"/>
    <w:rsid w:val="00365D48"/>
    <w:rsid w:val="00372D0C"/>
    <w:rsid w:val="003806F3"/>
    <w:rsid w:val="0038183C"/>
    <w:rsid w:val="00382EFC"/>
    <w:rsid w:val="00387658"/>
    <w:rsid w:val="00393983"/>
    <w:rsid w:val="003D058F"/>
    <w:rsid w:val="003D463E"/>
    <w:rsid w:val="003F299D"/>
    <w:rsid w:val="004008BC"/>
    <w:rsid w:val="004050E1"/>
    <w:rsid w:val="00405160"/>
    <w:rsid w:val="00411D20"/>
    <w:rsid w:val="00415B54"/>
    <w:rsid w:val="004230C6"/>
    <w:rsid w:val="00435588"/>
    <w:rsid w:val="00445232"/>
    <w:rsid w:val="0046282D"/>
    <w:rsid w:val="00471635"/>
    <w:rsid w:val="00473FDD"/>
    <w:rsid w:val="00486398"/>
    <w:rsid w:val="00492DDE"/>
    <w:rsid w:val="00493EA5"/>
    <w:rsid w:val="00494779"/>
    <w:rsid w:val="00494A82"/>
    <w:rsid w:val="00494AA8"/>
    <w:rsid w:val="004A0D72"/>
    <w:rsid w:val="004A1AAC"/>
    <w:rsid w:val="004A32E4"/>
    <w:rsid w:val="004A3C82"/>
    <w:rsid w:val="004A78A6"/>
    <w:rsid w:val="004B0837"/>
    <w:rsid w:val="004B5C25"/>
    <w:rsid w:val="004C3547"/>
    <w:rsid w:val="004C3BB0"/>
    <w:rsid w:val="004E3065"/>
    <w:rsid w:val="004E38B8"/>
    <w:rsid w:val="004E56E1"/>
    <w:rsid w:val="00503326"/>
    <w:rsid w:val="0052152A"/>
    <w:rsid w:val="005257EB"/>
    <w:rsid w:val="00537A50"/>
    <w:rsid w:val="00543463"/>
    <w:rsid w:val="00543608"/>
    <w:rsid w:val="0054588D"/>
    <w:rsid w:val="00565F2C"/>
    <w:rsid w:val="00587E2C"/>
    <w:rsid w:val="005B1FC3"/>
    <w:rsid w:val="005C136C"/>
    <w:rsid w:val="005C20E8"/>
    <w:rsid w:val="005C50F6"/>
    <w:rsid w:val="005D2AF1"/>
    <w:rsid w:val="00605A71"/>
    <w:rsid w:val="00645D40"/>
    <w:rsid w:val="00647041"/>
    <w:rsid w:val="00647048"/>
    <w:rsid w:val="006503BD"/>
    <w:rsid w:val="00660645"/>
    <w:rsid w:val="006640D4"/>
    <w:rsid w:val="006665EE"/>
    <w:rsid w:val="00681912"/>
    <w:rsid w:val="00691356"/>
    <w:rsid w:val="00696F8E"/>
    <w:rsid w:val="006A7DBF"/>
    <w:rsid w:val="006B00ED"/>
    <w:rsid w:val="006B56CF"/>
    <w:rsid w:val="006C3C9F"/>
    <w:rsid w:val="006C6035"/>
    <w:rsid w:val="006D7A68"/>
    <w:rsid w:val="006E1242"/>
    <w:rsid w:val="00716AF9"/>
    <w:rsid w:val="007405D0"/>
    <w:rsid w:val="00750EA8"/>
    <w:rsid w:val="007524A8"/>
    <w:rsid w:val="00755A91"/>
    <w:rsid w:val="00777213"/>
    <w:rsid w:val="00790677"/>
    <w:rsid w:val="00791085"/>
    <w:rsid w:val="0079578F"/>
    <w:rsid w:val="007A52E6"/>
    <w:rsid w:val="007A55B7"/>
    <w:rsid w:val="0080188A"/>
    <w:rsid w:val="008171F8"/>
    <w:rsid w:val="00831959"/>
    <w:rsid w:val="00837987"/>
    <w:rsid w:val="00837D36"/>
    <w:rsid w:val="0084281F"/>
    <w:rsid w:val="00844E66"/>
    <w:rsid w:val="00854AED"/>
    <w:rsid w:val="008554BF"/>
    <w:rsid w:val="00862452"/>
    <w:rsid w:val="00863DD1"/>
    <w:rsid w:val="008707CD"/>
    <w:rsid w:val="00875AB3"/>
    <w:rsid w:val="00887B62"/>
    <w:rsid w:val="008A174A"/>
    <w:rsid w:val="008A5984"/>
    <w:rsid w:val="008B3908"/>
    <w:rsid w:val="008B6AC4"/>
    <w:rsid w:val="008C72F4"/>
    <w:rsid w:val="008D1284"/>
    <w:rsid w:val="008F0D2A"/>
    <w:rsid w:val="008F15EA"/>
    <w:rsid w:val="00906BCF"/>
    <w:rsid w:val="00912A2C"/>
    <w:rsid w:val="00922335"/>
    <w:rsid w:val="00941BFF"/>
    <w:rsid w:val="009455AE"/>
    <w:rsid w:val="00945BD0"/>
    <w:rsid w:val="00991B09"/>
    <w:rsid w:val="009A078E"/>
    <w:rsid w:val="009B260D"/>
    <w:rsid w:val="009D0926"/>
    <w:rsid w:val="009E466E"/>
    <w:rsid w:val="009E6F42"/>
    <w:rsid w:val="009F2E9F"/>
    <w:rsid w:val="00A04048"/>
    <w:rsid w:val="00A32502"/>
    <w:rsid w:val="00A32960"/>
    <w:rsid w:val="00A33B41"/>
    <w:rsid w:val="00A403A4"/>
    <w:rsid w:val="00A412C0"/>
    <w:rsid w:val="00A52BCD"/>
    <w:rsid w:val="00A5341C"/>
    <w:rsid w:val="00A53C0F"/>
    <w:rsid w:val="00A71119"/>
    <w:rsid w:val="00A9554E"/>
    <w:rsid w:val="00A96B5A"/>
    <w:rsid w:val="00AA43C0"/>
    <w:rsid w:val="00AA7201"/>
    <w:rsid w:val="00AC4795"/>
    <w:rsid w:val="00AE312F"/>
    <w:rsid w:val="00B15B78"/>
    <w:rsid w:val="00B3010F"/>
    <w:rsid w:val="00B36E54"/>
    <w:rsid w:val="00B46AF9"/>
    <w:rsid w:val="00B509FC"/>
    <w:rsid w:val="00B54FAC"/>
    <w:rsid w:val="00B70DDA"/>
    <w:rsid w:val="00B7181C"/>
    <w:rsid w:val="00BA5E35"/>
    <w:rsid w:val="00BD5E24"/>
    <w:rsid w:val="00BE2926"/>
    <w:rsid w:val="00BF1D2B"/>
    <w:rsid w:val="00BF74BD"/>
    <w:rsid w:val="00C01EF2"/>
    <w:rsid w:val="00C04FCE"/>
    <w:rsid w:val="00C2055A"/>
    <w:rsid w:val="00C3123A"/>
    <w:rsid w:val="00C40BC3"/>
    <w:rsid w:val="00C6204F"/>
    <w:rsid w:val="00C6307A"/>
    <w:rsid w:val="00C86D96"/>
    <w:rsid w:val="00C968BD"/>
    <w:rsid w:val="00CA3EB4"/>
    <w:rsid w:val="00CD6477"/>
    <w:rsid w:val="00CD6A45"/>
    <w:rsid w:val="00CE15BF"/>
    <w:rsid w:val="00CE79AA"/>
    <w:rsid w:val="00CF26E8"/>
    <w:rsid w:val="00CF58AD"/>
    <w:rsid w:val="00CF78A2"/>
    <w:rsid w:val="00D0227E"/>
    <w:rsid w:val="00D037E4"/>
    <w:rsid w:val="00D06E6F"/>
    <w:rsid w:val="00D13FFE"/>
    <w:rsid w:val="00D21685"/>
    <w:rsid w:val="00D42591"/>
    <w:rsid w:val="00D4271E"/>
    <w:rsid w:val="00D434C6"/>
    <w:rsid w:val="00D45F23"/>
    <w:rsid w:val="00D937AF"/>
    <w:rsid w:val="00D93B7B"/>
    <w:rsid w:val="00DA49B4"/>
    <w:rsid w:val="00DB42C8"/>
    <w:rsid w:val="00DD38F9"/>
    <w:rsid w:val="00DD76C6"/>
    <w:rsid w:val="00DE1FAA"/>
    <w:rsid w:val="00DE378C"/>
    <w:rsid w:val="00DF1D35"/>
    <w:rsid w:val="00E12049"/>
    <w:rsid w:val="00E27104"/>
    <w:rsid w:val="00E43391"/>
    <w:rsid w:val="00E54C09"/>
    <w:rsid w:val="00E66F6B"/>
    <w:rsid w:val="00E766C7"/>
    <w:rsid w:val="00E81A8D"/>
    <w:rsid w:val="00EB3820"/>
    <w:rsid w:val="00EC2229"/>
    <w:rsid w:val="00EC6BCF"/>
    <w:rsid w:val="00ED3A66"/>
    <w:rsid w:val="00EE3FC8"/>
    <w:rsid w:val="00EF2562"/>
    <w:rsid w:val="00F01E59"/>
    <w:rsid w:val="00F2243D"/>
    <w:rsid w:val="00F27621"/>
    <w:rsid w:val="00F306A0"/>
    <w:rsid w:val="00F37065"/>
    <w:rsid w:val="00F44455"/>
    <w:rsid w:val="00F50DED"/>
    <w:rsid w:val="00F563B9"/>
    <w:rsid w:val="00F56829"/>
    <w:rsid w:val="00F56D15"/>
    <w:rsid w:val="00F72424"/>
    <w:rsid w:val="00F732E6"/>
    <w:rsid w:val="00F74A17"/>
    <w:rsid w:val="00F810BA"/>
    <w:rsid w:val="00FA3FBC"/>
    <w:rsid w:val="00FB7239"/>
    <w:rsid w:val="00FC149B"/>
    <w:rsid w:val="00FD2858"/>
    <w:rsid w:val="00FD5F0E"/>
    <w:rsid w:val="00FE4244"/>
    <w:rsid w:val="00FF0D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FAED3"/>
  <w15:docId w15:val="{62F89441-B4E4-45C2-9F9A-0581F7BF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ms-MY" w:eastAsia="en-US" w:bidi="ar-SA"/>
      </w:rPr>
    </w:rPrDefault>
    <w:pPrDefault>
      <w:pPr>
        <w:spacing w:after="240" w:line="360" w:lineRule="auto"/>
        <w:ind w:left="788"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352"/>
    <w:pPr>
      <w:spacing w:after="200" w:line="276" w:lineRule="auto"/>
      <w:ind w:left="0" w:firstLine="0"/>
      <w:jc w:val="left"/>
    </w:pPr>
    <w:rPr>
      <w:rFonts w:asciiTheme="minorHAnsi" w:hAnsiTheme="minorHAnsi"/>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352"/>
    <w:pPr>
      <w:ind w:left="720"/>
      <w:contextualSpacing/>
    </w:pPr>
    <w:rPr>
      <w:lang w:val="en-US"/>
    </w:rPr>
  </w:style>
  <w:style w:type="paragraph" w:styleId="Title">
    <w:name w:val="Title"/>
    <w:basedOn w:val="Normal"/>
    <w:link w:val="TitleChar"/>
    <w:qFormat/>
    <w:rsid w:val="00055352"/>
    <w:pPr>
      <w:spacing w:after="0" w:line="240" w:lineRule="auto"/>
      <w:jc w:val="center"/>
    </w:pPr>
    <w:rPr>
      <w:rFonts w:ascii="Times New Roman" w:eastAsia="Times New Roman" w:hAnsi="Times New Roman" w:cs="Times New Roman"/>
      <w:sz w:val="24"/>
      <w:szCs w:val="20"/>
      <w:lang w:val="en-US"/>
    </w:rPr>
  </w:style>
  <w:style w:type="character" w:customStyle="1" w:styleId="TitleChar">
    <w:name w:val="Title Char"/>
    <w:basedOn w:val="DefaultParagraphFont"/>
    <w:link w:val="Title"/>
    <w:rsid w:val="00055352"/>
    <w:rPr>
      <w:rFonts w:eastAsia="Times New Roman" w:cs="Times New Roman"/>
      <w:sz w:val="24"/>
      <w:szCs w:val="20"/>
      <w:lang w:val="en-US"/>
    </w:rPr>
  </w:style>
  <w:style w:type="paragraph" w:styleId="Subtitle">
    <w:name w:val="Subtitle"/>
    <w:basedOn w:val="Normal"/>
    <w:link w:val="SubtitleChar"/>
    <w:qFormat/>
    <w:rsid w:val="00055352"/>
    <w:pPr>
      <w:spacing w:after="0" w:line="240" w:lineRule="auto"/>
      <w:jc w:val="center"/>
    </w:pPr>
    <w:rPr>
      <w:rFonts w:ascii="Times New Roman" w:eastAsia="Times New Roman" w:hAnsi="Times New Roman" w:cs="Times New Roman"/>
      <w:b/>
      <w:sz w:val="24"/>
      <w:szCs w:val="20"/>
      <w:lang w:val="en-US"/>
    </w:rPr>
  </w:style>
  <w:style w:type="character" w:customStyle="1" w:styleId="SubtitleChar">
    <w:name w:val="Subtitle Char"/>
    <w:basedOn w:val="DefaultParagraphFont"/>
    <w:link w:val="Subtitle"/>
    <w:rsid w:val="00055352"/>
    <w:rPr>
      <w:rFonts w:eastAsia="Times New Roman" w:cs="Times New Roman"/>
      <w:b/>
      <w:sz w:val="24"/>
      <w:szCs w:val="20"/>
      <w:lang w:val="en-US"/>
    </w:rPr>
  </w:style>
  <w:style w:type="paragraph" w:styleId="Footer">
    <w:name w:val="footer"/>
    <w:basedOn w:val="Normal"/>
    <w:link w:val="FooterChar"/>
    <w:uiPriority w:val="99"/>
    <w:unhideWhenUsed/>
    <w:rsid w:val="000553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52"/>
    <w:rPr>
      <w:rFonts w:asciiTheme="minorHAnsi" w:hAnsiTheme="minorHAnsi"/>
      <w:lang w:val="en-MY"/>
    </w:rPr>
  </w:style>
  <w:style w:type="paragraph" w:styleId="BalloonText">
    <w:name w:val="Balloon Text"/>
    <w:basedOn w:val="Normal"/>
    <w:link w:val="BalloonTextChar"/>
    <w:uiPriority w:val="99"/>
    <w:semiHidden/>
    <w:unhideWhenUsed/>
    <w:rsid w:val="0005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352"/>
    <w:rPr>
      <w:rFonts w:ascii="Tahoma" w:hAnsi="Tahoma" w:cs="Tahoma"/>
      <w:sz w:val="16"/>
      <w:szCs w:val="16"/>
      <w:lang w:val="en-MY"/>
    </w:rPr>
  </w:style>
  <w:style w:type="paragraph" w:styleId="Header">
    <w:name w:val="header"/>
    <w:basedOn w:val="Normal"/>
    <w:link w:val="HeaderChar"/>
    <w:uiPriority w:val="99"/>
    <w:unhideWhenUsed/>
    <w:rsid w:val="00193A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3AFB"/>
    <w:rPr>
      <w:rFonts w:asciiTheme="minorHAnsi" w:hAnsiTheme="minorHAnsi"/>
      <w:lang w:val="en-MY"/>
    </w:rPr>
  </w:style>
  <w:style w:type="table" w:styleId="TableGrid">
    <w:name w:val="Table Grid"/>
    <w:basedOn w:val="TableNormal"/>
    <w:uiPriority w:val="59"/>
    <w:rsid w:val="00B7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6B8D"/>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Emphasis">
    <w:name w:val="Emphasis"/>
    <w:basedOn w:val="DefaultParagraphFont"/>
    <w:uiPriority w:val="20"/>
    <w:qFormat/>
    <w:rsid w:val="00156B8D"/>
    <w:rPr>
      <w:i/>
      <w:iCs/>
    </w:rPr>
  </w:style>
  <w:style w:type="character" w:styleId="PlaceholderText">
    <w:name w:val="Placeholder Text"/>
    <w:basedOn w:val="DefaultParagraphFont"/>
    <w:uiPriority w:val="99"/>
    <w:semiHidden/>
    <w:rsid w:val="00755A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7970">
      <w:bodyDiv w:val="1"/>
      <w:marLeft w:val="0"/>
      <w:marRight w:val="0"/>
      <w:marTop w:val="0"/>
      <w:marBottom w:val="0"/>
      <w:divBdr>
        <w:top w:val="none" w:sz="0" w:space="0" w:color="auto"/>
        <w:left w:val="none" w:sz="0" w:space="0" w:color="auto"/>
        <w:bottom w:val="none" w:sz="0" w:space="0" w:color="auto"/>
        <w:right w:val="none" w:sz="0" w:space="0" w:color="auto"/>
      </w:divBdr>
    </w:div>
    <w:div w:id="3154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BEF2E-F7C5-46D6-9F25-566E0696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filisa.mama</dc:creator>
  <cp:lastModifiedBy>Norfadhilah Mat Nor</cp:lastModifiedBy>
  <cp:revision>2</cp:revision>
  <cp:lastPrinted>2025-12-18T00:45:00Z</cp:lastPrinted>
  <dcterms:created xsi:type="dcterms:W3CDTF">2025-12-23T07:26:00Z</dcterms:created>
  <dcterms:modified xsi:type="dcterms:W3CDTF">2025-12-23T07:26:00Z</dcterms:modified>
</cp:coreProperties>
</file>